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3B3E9" w14:textId="77777777" w:rsidR="00D525AB" w:rsidRDefault="00D525AB" w:rsidP="00DE2622">
      <w:pPr>
        <w:pStyle w:val="Heading1"/>
      </w:pPr>
      <w:r w:rsidRPr="005C3E35">
        <w:t>An Examination of LGBTQ</w:t>
      </w:r>
      <w:r w:rsidR="00EB6166">
        <w:t>I</w:t>
      </w:r>
      <w:r w:rsidRPr="005C3E35">
        <w:t xml:space="preserve"> Ri</w:t>
      </w:r>
      <w:bookmarkStart w:id="0" w:name="_GoBack"/>
      <w:bookmarkEnd w:id="0"/>
      <w:r w:rsidRPr="005C3E35">
        <w:t xml:space="preserve">ghts in Kenya: Gains from the </w:t>
      </w:r>
      <w:r w:rsidRPr="00D03F83">
        <w:t>2010</w:t>
      </w:r>
      <w:r w:rsidRPr="005C3E35">
        <w:t xml:space="preserve"> Constitution</w:t>
      </w:r>
    </w:p>
    <w:p w14:paraId="5D4DE059" w14:textId="77777777" w:rsidR="00782B03" w:rsidRDefault="00782B03" w:rsidP="0073294B">
      <w:pPr>
        <w:pStyle w:val="author"/>
        <w:spacing w:line="360" w:lineRule="auto"/>
      </w:pPr>
      <w:r w:rsidRPr="00782B03">
        <w:t>Francis E A Owakah</w:t>
      </w:r>
    </w:p>
    <w:p w14:paraId="78DDD446" w14:textId="77777777" w:rsidR="0073294B" w:rsidRPr="0014102B" w:rsidRDefault="0073294B" w:rsidP="0073294B">
      <w:pPr>
        <w:pStyle w:val="author"/>
        <w:spacing w:line="360" w:lineRule="auto"/>
      </w:pPr>
      <w:r w:rsidRPr="0014102B">
        <w:t>Senior Lecturer Department of Philosophy</w:t>
      </w:r>
    </w:p>
    <w:p w14:paraId="0FA49A5D" w14:textId="02F6FE5E" w:rsidR="00782B03" w:rsidRPr="0014102B" w:rsidRDefault="00A4134F" w:rsidP="0073294B">
      <w:pPr>
        <w:pStyle w:val="author"/>
        <w:spacing w:line="360" w:lineRule="auto"/>
      </w:pPr>
      <w:r>
        <w:t xml:space="preserve">Email: </w:t>
      </w:r>
      <w:r w:rsidR="00782B03" w:rsidRPr="0014102B">
        <w:t>fowakah@yahoo.com/francis.owakah@uonbi.ac.ke</w:t>
      </w:r>
    </w:p>
    <w:p w14:paraId="1E6E7985" w14:textId="77777777" w:rsidR="00782B03" w:rsidRPr="00782B03" w:rsidRDefault="00782B03" w:rsidP="0073294B">
      <w:pPr>
        <w:pStyle w:val="author"/>
        <w:spacing w:line="360" w:lineRule="auto"/>
      </w:pPr>
    </w:p>
    <w:p w14:paraId="3B22C6D1" w14:textId="00EAD51D" w:rsidR="00782B03" w:rsidRPr="0014102B" w:rsidRDefault="00DC2970" w:rsidP="0073294B">
      <w:pPr>
        <w:pStyle w:val="NormalWeb"/>
        <w:shd w:val="clear" w:color="auto" w:fill="FFFFFF"/>
        <w:spacing w:before="0" w:beforeAutospacing="0" w:after="0" w:afterAutospacing="0" w:line="360" w:lineRule="auto"/>
        <w:jc w:val="center"/>
      </w:pPr>
      <w:r>
        <w:rPr>
          <w:b/>
        </w:rPr>
        <w:br w:type="page"/>
      </w:r>
    </w:p>
    <w:p w14:paraId="1234AC64" w14:textId="77777777" w:rsidR="00D525AB" w:rsidRDefault="00D525AB" w:rsidP="009F427F">
      <w:pPr>
        <w:pStyle w:val="Heading2"/>
      </w:pPr>
      <w:r>
        <w:lastRenderedPageBreak/>
        <w:t>Abstract</w:t>
      </w:r>
    </w:p>
    <w:p w14:paraId="09C62FEE" w14:textId="7682A815" w:rsidR="00D525AB" w:rsidRDefault="009D46CD" w:rsidP="00596D3C">
      <w:r>
        <w:t xml:space="preserve">Every society has a </w:t>
      </w:r>
      <w:r w:rsidR="00D525AB" w:rsidRPr="00293175">
        <w:t xml:space="preserve">normative system designed to determine </w:t>
      </w:r>
      <w:r w:rsidR="003977E4">
        <w:t xml:space="preserve">what is </w:t>
      </w:r>
      <w:r w:rsidR="00D525AB" w:rsidRPr="00293175">
        <w:t>right and wrong. Much of what is ordinarily</w:t>
      </w:r>
      <w:r w:rsidR="0056163C">
        <w:t xml:space="preserve"> </w:t>
      </w:r>
      <w:r>
        <w:t xml:space="preserve">considered </w:t>
      </w:r>
      <w:r w:rsidR="00D525AB" w:rsidRPr="00293175">
        <w:t>right and wr</w:t>
      </w:r>
      <w:r w:rsidR="003977E4">
        <w:t>o</w:t>
      </w:r>
      <w:r w:rsidR="00D525AB" w:rsidRPr="00293175">
        <w:t>ng arise</w:t>
      </w:r>
      <w:r>
        <w:t>s</w:t>
      </w:r>
      <w:r w:rsidR="00D525AB" w:rsidRPr="00293175">
        <w:t xml:space="preserve"> from </w:t>
      </w:r>
      <w:r w:rsidR="0059408E">
        <w:t>of the conventions that have evolved in many societies are those concerning sexual relations and therefore sexual expression and practices sexuality</w:t>
      </w:r>
      <w:r w:rsidR="00D525AB" w:rsidRPr="00293175">
        <w:t>. Sexual expression and practices are in many societies</w:t>
      </w:r>
      <w:r w:rsidR="0056163C">
        <w:t xml:space="preserve"> a</w:t>
      </w:r>
      <w:r w:rsidR="00D525AB" w:rsidRPr="00293175">
        <w:t xml:space="preserve"> taboo topic. Individuals are expected to conform to </w:t>
      </w:r>
      <w:r w:rsidR="00EC31A8">
        <w:t>socially constructed gender roles</w:t>
      </w:r>
      <w:r w:rsidR="00C30A92">
        <w:t>.</w:t>
      </w:r>
      <w:r w:rsidR="00EC31A8">
        <w:t xml:space="preserve"> </w:t>
      </w:r>
      <w:r w:rsidR="00D525AB" w:rsidRPr="00293175">
        <w:t xml:space="preserve">Deviation is frowned upon. </w:t>
      </w:r>
      <w:r w:rsidR="00D32B9C" w:rsidRPr="00625733">
        <w:t xml:space="preserve">In Africa, there is a contradiction in attitude towards sex and sexuality. Many people </w:t>
      </w:r>
      <w:r w:rsidR="00D32B9C">
        <w:t xml:space="preserve">shy away from discussing sex and </w:t>
      </w:r>
      <w:r w:rsidR="00D32B9C" w:rsidRPr="00625733">
        <w:t>overt public display of affection is not too common. Yet, African music, dance and other art forms exude eroticism and sexuality. Aspects of sexuality that are influenced by culture include values, such as decisions regarding appropriate sexual behaviours, suitable partner or partners, appropriate age of consent, as well as who is to decide what is appropriate</w:t>
      </w:r>
      <w:r w:rsidR="00D32B9C">
        <w:t xml:space="preserve">. </w:t>
      </w:r>
      <w:r w:rsidR="004642F0">
        <w:t>African nations that</w:t>
      </w:r>
      <w:r w:rsidR="004642F0" w:rsidRPr="00293175">
        <w:t xml:space="preserve"> claim</w:t>
      </w:r>
      <w:r w:rsidR="00D525AB" w:rsidRPr="00293175">
        <w:t xml:space="preserve"> to base </w:t>
      </w:r>
      <w:r w:rsidR="004642F0">
        <w:t>her</w:t>
      </w:r>
      <w:r w:rsidR="00D525AB" w:rsidRPr="00293175">
        <w:t xml:space="preserve"> social values and practices on African </w:t>
      </w:r>
      <w:r w:rsidR="004642F0">
        <w:t>culture</w:t>
      </w:r>
      <w:r w:rsidR="00EC31A8">
        <w:t xml:space="preserve"> is Kenya</w:t>
      </w:r>
      <w:r w:rsidR="00D525AB" w:rsidRPr="00293175">
        <w:t>.</w:t>
      </w:r>
      <w:r w:rsidR="003977E4">
        <w:t xml:space="preserve"> </w:t>
      </w:r>
      <w:r w:rsidR="00EC31A8">
        <w:t xml:space="preserve">Therefore, </w:t>
      </w:r>
      <w:r w:rsidR="005155F8">
        <w:t>w</w:t>
      </w:r>
      <w:r w:rsidR="00D525AB" w:rsidRPr="00293175">
        <w:t>he</w:t>
      </w:r>
      <w:r w:rsidR="00EC31A8">
        <w:t>n</w:t>
      </w:r>
      <w:r w:rsidR="00D525AB" w:rsidRPr="00293175">
        <w:t xml:space="preserve"> one expresses their sexual</w:t>
      </w:r>
      <w:r w:rsidR="005155F8">
        <w:t>ity</w:t>
      </w:r>
      <w:r w:rsidR="00D525AB" w:rsidRPr="00293175">
        <w:t xml:space="preserve"> in a manner that contradicts the norm</w:t>
      </w:r>
      <w:r w:rsidR="0080172D">
        <w:t>, it</w:t>
      </w:r>
      <w:r w:rsidR="00D525AB" w:rsidRPr="00293175">
        <w:t xml:space="preserve"> is not only immoral but is</w:t>
      </w:r>
      <w:r w:rsidR="0080172D">
        <w:t xml:space="preserve"> also</w:t>
      </w:r>
      <w:r w:rsidR="00D525AB" w:rsidRPr="00293175">
        <w:t xml:space="preserve"> </w:t>
      </w:r>
      <w:r w:rsidR="00C30A92">
        <w:t xml:space="preserve">socially </w:t>
      </w:r>
      <w:r w:rsidR="00D525AB" w:rsidRPr="00293175">
        <w:t>criminal</w:t>
      </w:r>
      <w:r w:rsidR="00C30A92">
        <w:t xml:space="preserve">. </w:t>
      </w:r>
      <w:r w:rsidR="00EC31A8">
        <w:t xml:space="preserve">Such </w:t>
      </w:r>
      <w:r w:rsidR="0056163C">
        <w:t xml:space="preserve">individuals become social pariahs </w:t>
      </w:r>
      <w:r w:rsidR="00D525AB" w:rsidRPr="00293175">
        <w:t xml:space="preserve">who </w:t>
      </w:r>
      <w:r w:rsidR="0056163C">
        <w:t>are not expected to</w:t>
      </w:r>
      <w:r w:rsidR="00D525AB" w:rsidRPr="00293175">
        <w:t xml:space="preserve"> enjoy any rights within the community. </w:t>
      </w:r>
      <w:r w:rsidR="00EC31A8">
        <w:t xml:space="preserve">However, </w:t>
      </w:r>
      <w:r w:rsidR="00D525AB" w:rsidRPr="00293175">
        <w:t>the C</w:t>
      </w:r>
      <w:r w:rsidR="0056163C">
        <w:t xml:space="preserve">onstitution of Kenya </w:t>
      </w:r>
      <w:r w:rsidR="00F01930">
        <w:t>(</w:t>
      </w:r>
      <w:r w:rsidR="00D525AB" w:rsidRPr="00293175">
        <w:t>2010</w:t>
      </w:r>
      <w:r w:rsidR="00F01930">
        <w:t>)</w:t>
      </w:r>
      <w:r w:rsidR="00D525AB" w:rsidRPr="00293175">
        <w:t xml:space="preserve"> </w:t>
      </w:r>
      <w:r w:rsidR="00EC31A8">
        <w:t xml:space="preserve">by </w:t>
      </w:r>
      <w:r w:rsidR="00D525AB" w:rsidRPr="00293175">
        <w:t>grant</w:t>
      </w:r>
      <w:r w:rsidR="00EC31A8">
        <w:t>ing</w:t>
      </w:r>
      <w:r w:rsidR="00D525AB" w:rsidRPr="00293175">
        <w:t xml:space="preserve"> an array of rights </w:t>
      </w:r>
      <w:r w:rsidR="0056163C">
        <w:t xml:space="preserve">without </w:t>
      </w:r>
      <w:r w:rsidR="00D525AB" w:rsidRPr="00293175">
        <w:t>exception</w:t>
      </w:r>
      <w:r w:rsidR="00EC31A8">
        <w:t xml:space="preserve"> </w:t>
      </w:r>
      <w:r w:rsidR="00491017">
        <w:t>and</w:t>
      </w:r>
      <w:r w:rsidR="00EC31A8">
        <w:t xml:space="preserve"> including all persons</w:t>
      </w:r>
      <w:r w:rsidR="00491017">
        <w:t xml:space="preserve">, provides communities hitherto </w:t>
      </w:r>
      <w:r w:rsidR="001C3D2D">
        <w:t xml:space="preserve">deemed criminal </w:t>
      </w:r>
      <w:r w:rsidR="00491017">
        <w:t xml:space="preserve">such as the LGBTQI an opportunity to enjoy </w:t>
      </w:r>
      <w:r w:rsidR="00C30A92">
        <w:t>all the human rights granted under Chapter four of the Constitution.</w:t>
      </w:r>
      <w:r w:rsidR="00D525AB" w:rsidRPr="00293175">
        <w:t xml:space="preserve"> </w:t>
      </w:r>
      <w:r w:rsidR="001C3D2D">
        <w:t>As a result, t</w:t>
      </w:r>
      <w:r w:rsidR="004642F0">
        <w:t xml:space="preserve">his Constitution </w:t>
      </w:r>
      <w:r w:rsidR="00D525AB" w:rsidRPr="00293175">
        <w:t>has been lauded as one of the most progressive in Africa</w:t>
      </w:r>
      <w:r w:rsidR="005C476C">
        <w:t xml:space="preserve"> in recent times</w:t>
      </w:r>
      <w:r w:rsidR="00D525AB" w:rsidRPr="00293175">
        <w:t>.</w:t>
      </w:r>
      <w:r w:rsidR="005C476C">
        <w:t xml:space="preserve"> Given that </w:t>
      </w:r>
      <w:r w:rsidR="005C476C" w:rsidRPr="00293175">
        <w:t>the</w:t>
      </w:r>
      <w:r w:rsidR="005C476C">
        <w:t xml:space="preserve"> constitution is the supreme law in Kenya, then </w:t>
      </w:r>
      <w:r w:rsidR="00D525AB" w:rsidRPr="00293175">
        <w:t>Sections 162</w:t>
      </w:r>
      <w:r w:rsidR="00CD61D6">
        <w:t>, 163</w:t>
      </w:r>
      <w:r w:rsidR="00D525AB" w:rsidRPr="00293175">
        <w:t xml:space="preserve"> and 165 of the </w:t>
      </w:r>
      <w:r w:rsidR="00CD61D6">
        <w:t>P</w:t>
      </w:r>
      <w:r w:rsidR="00D525AB" w:rsidRPr="00293175">
        <w:t>enal Code</w:t>
      </w:r>
      <w:r w:rsidR="004642F0">
        <w:t xml:space="preserve"> Cap 63 Laws of Kenya </w:t>
      </w:r>
      <w:r w:rsidR="004642F0" w:rsidRPr="00293175">
        <w:t>clearly</w:t>
      </w:r>
      <w:r w:rsidR="00D525AB" w:rsidRPr="00293175">
        <w:t xml:space="preserve"> </w:t>
      </w:r>
      <w:r w:rsidR="00DF7D09">
        <w:t xml:space="preserve">offends it </w:t>
      </w:r>
      <w:r w:rsidR="00D525AB" w:rsidRPr="00293175">
        <w:t>and regrettably violate</w:t>
      </w:r>
      <w:r w:rsidR="00491017">
        <w:t>s</w:t>
      </w:r>
      <w:r w:rsidR="00D525AB" w:rsidRPr="00293175">
        <w:t xml:space="preserve"> the sexual rights of the </w:t>
      </w:r>
      <w:r w:rsidR="003A5350">
        <w:t>lesbian gay bisexual transgender queer and intersex (</w:t>
      </w:r>
      <w:r w:rsidR="00D525AB" w:rsidRPr="00293175">
        <w:t>LGBTQ</w:t>
      </w:r>
      <w:r w:rsidR="003A5350">
        <w:t>I)</w:t>
      </w:r>
      <w:r w:rsidR="004642F0">
        <w:t xml:space="preserve"> communit</w:t>
      </w:r>
      <w:r w:rsidR="00C30A92">
        <w:t xml:space="preserve">y </w:t>
      </w:r>
      <w:r w:rsidR="001C3D2D">
        <w:t>in Kenya</w:t>
      </w:r>
      <w:r w:rsidR="00D525AB" w:rsidRPr="00293175">
        <w:t xml:space="preserve">. </w:t>
      </w:r>
      <w:r w:rsidR="004642F0">
        <w:t>In light of this</w:t>
      </w:r>
      <w:r w:rsidR="001C3D2D">
        <w:t xml:space="preserve"> contradiction</w:t>
      </w:r>
      <w:r w:rsidR="00C30A92">
        <w:t>,</w:t>
      </w:r>
      <w:r w:rsidR="001C3D2D">
        <w:t xml:space="preserve"> repeal</w:t>
      </w:r>
      <w:r w:rsidR="004642F0">
        <w:t xml:space="preserve"> of these sections </w:t>
      </w:r>
      <w:r w:rsidR="00C30A92" w:rsidRPr="00293175">
        <w:t>would contribute</w:t>
      </w:r>
      <w:r w:rsidR="00D525AB" w:rsidRPr="00293175">
        <w:t xml:space="preserve"> to </w:t>
      </w:r>
      <w:r w:rsidR="004642F0">
        <w:t xml:space="preserve">promoting </w:t>
      </w:r>
      <w:r w:rsidR="00D525AB" w:rsidRPr="00293175">
        <w:t>the rights of LGBTQ</w:t>
      </w:r>
      <w:r w:rsidR="003A5350">
        <w:t>I</w:t>
      </w:r>
      <w:r w:rsidR="00D525AB" w:rsidRPr="00293175">
        <w:t xml:space="preserve"> </w:t>
      </w:r>
      <w:r w:rsidR="004642F0">
        <w:t xml:space="preserve">community </w:t>
      </w:r>
      <w:r w:rsidR="00D525AB" w:rsidRPr="00293175">
        <w:t>in Kenya.</w:t>
      </w:r>
    </w:p>
    <w:p w14:paraId="517441C6" w14:textId="77777777" w:rsidR="00C02EEA" w:rsidRDefault="00C02EEA" w:rsidP="003977E4">
      <w:pPr>
        <w:pStyle w:val="NormalWeb"/>
        <w:shd w:val="clear" w:color="auto" w:fill="FFFFFF"/>
        <w:spacing w:before="0" w:beforeAutospacing="0" w:after="0" w:afterAutospacing="0" w:line="240" w:lineRule="auto"/>
      </w:pPr>
    </w:p>
    <w:p w14:paraId="7D311902" w14:textId="77777777" w:rsidR="00C30A92" w:rsidRDefault="00C30A92" w:rsidP="003977E4">
      <w:pPr>
        <w:pStyle w:val="NormalWeb"/>
        <w:shd w:val="clear" w:color="auto" w:fill="FFFFFF"/>
        <w:spacing w:before="0" w:beforeAutospacing="0" w:after="0" w:afterAutospacing="0" w:line="240" w:lineRule="auto"/>
      </w:pPr>
    </w:p>
    <w:p w14:paraId="740C392B" w14:textId="77777777" w:rsidR="00C02EEA" w:rsidRDefault="00C02EEA" w:rsidP="00554068">
      <w:pPr>
        <w:pStyle w:val="Heading2"/>
      </w:pPr>
      <w:r>
        <w:t>Key Words</w:t>
      </w:r>
    </w:p>
    <w:p w14:paraId="13FA2A93" w14:textId="0990C146" w:rsidR="00C02EEA" w:rsidRDefault="00C02EEA" w:rsidP="00C02EEA">
      <w:r>
        <w:t>LGBT</w:t>
      </w:r>
      <w:r w:rsidR="00A361CB">
        <w:t>Q</w:t>
      </w:r>
      <w:r w:rsidR="00EB6166">
        <w:t>I</w:t>
      </w:r>
      <w:r w:rsidR="00865CEA">
        <w:t xml:space="preserve">; </w:t>
      </w:r>
      <w:r>
        <w:t xml:space="preserve">African </w:t>
      </w:r>
      <w:r w:rsidR="00865CEA">
        <w:t>culture;</w:t>
      </w:r>
      <w:r>
        <w:t xml:space="preserve"> </w:t>
      </w:r>
      <w:r w:rsidR="00CF799D">
        <w:t>Penal Code</w:t>
      </w:r>
      <w:r w:rsidR="00865CEA">
        <w:t>;</w:t>
      </w:r>
      <w:r>
        <w:t xml:space="preserve"> </w:t>
      </w:r>
      <w:r w:rsidR="00865CEA">
        <w:t>C</w:t>
      </w:r>
      <w:r>
        <w:t xml:space="preserve">onstitution of </w:t>
      </w:r>
      <w:r w:rsidR="00865CEA">
        <w:t>Kenya</w:t>
      </w:r>
      <w:r w:rsidR="00850F1B">
        <w:t xml:space="preserve"> (2010)</w:t>
      </w:r>
      <w:r w:rsidR="00865CEA">
        <w:t>,</w:t>
      </w:r>
      <w:r>
        <w:t xml:space="preserve"> sex, gender</w:t>
      </w:r>
    </w:p>
    <w:p w14:paraId="7F3FF7EE" w14:textId="77777777" w:rsidR="00C02EEA" w:rsidRDefault="00C02EEA" w:rsidP="00C02EEA">
      <w:r>
        <w:br w:type="page"/>
      </w:r>
    </w:p>
    <w:p w14:paraId="54175DF2" w14:textId="77777777" w:rsidR="00D525AB" w:rsidRPr="008C200C" w:rsidRDefault="00D525AB" w:rsidP="009F427F">
      <w:pPr>
        <w:pStyle w:val="Heading2"/>
      </w:pPr>
      <w:r w:rsidRPr="008C200C">
        <w:lastRenderedPageBreak/>
        <w:t>Introduction</w:t>
      </w:r>
    </w:p>
    <w:p w14:paraId="2F12B2EF" w14:textId="77777777" w:rsidR="00595484" w:rsidRDefault="00D525AB" w:rsidP="008E6D6F">
      <w:pPr>
        <w:spacing w:after="240"/>
      </w:pPr>
      <w:r w:rsidRPr="0074421A">
        <w:t>The term gender has time and again invited controvers</w:t>
      </w:r>
      <w:r w:rsidR="00A361CB">
        <w:t>y</w:t>
      </w:r>
      <w:r w:rsidRPr="0074421A">
        <w:t xml:space="preserve">. </w:t>
      </w:r>
      <w:r w:rsidR="00A361CB">
        <w:t>O</w:t>
      </w:r>
      <w:r w:rsidR="00CE7EDF" w:rsidRPr="0074421A">
        <w:t>ften</w:t>
      </w:r>
      <w:r w:rsidR="00A361CB">
        <w:t>,</w:t>
      </w:r>
      <w:r w:rsidR="00CE7EDF" w:rsidRPr="0074421A">
        <w:t xml:space="preserve"> one may use sex when they mean gender</w:t>
      </w:r>
      <w:r w:rsidR="00A361CB">
        <w:t>,</w:t>
      </w:r>
      <w:r w:rsidR="00CE7EDF" w:rsidRPr="0074421A">
        <w:t xml:space="preserve"> and the converse is also true. </w:t>
      </w:r>
      <w:r w:rsidRPr="0074421A">
        <w:t xml:space="preserve">Leneck, </w:t>
      </w:r>
      <w:r w:rsidR="009F7509">
        <w:t>(</w:t>
      </w:r>
      <w:r w:rsidR="008F7B81" w:rsidRPr="0074421A">
        <w:t>1994</w:t>
      </w:r>
      <w:r w:rsidR="009F7509">
        <w:t>)</w:t>
      </w:r>
      <w:r w:rsidRPr="00596D3C">
        <w:t xml:space="preserve"> writing in the Canadian Medical Association Journal</w:t>
      </w:r>
      <w:r w:rsidRPr="0074421A">
        <w:t xml:space="preserve"> observes that </w:t>
      </w:r>
      <w:r w:rsidR="00BD7D88" w:rsidRPr="0074421A">
        <w:t>‘</w:t>
      </w:r>
      <w:r w:rsidRPr="0074421A">
        <w:t>[g]ender is a grammatic term referring to whether a word is masculine, feminine or neuter. It has nothing to do with whether an organism is male or female and should never be used in this way. The correct term is sex</w:t>
      </w:r>
      <w:r w:rsidRPr="00596D3C">
        <w:t>.</w:t>
      </w:r>
      <w:r w:rsidR="00BD7D88" w:rsidRPr="00596D3C">
        <w:t>’</w:t>
      </w:r>
      <w:r w:rsidR="003977E4" w:rsidRPr="008E6D6F">
        <w:rPr>
          <w:vertAlign w:val="superscript"/>
        </w:rPr>
        <w:footnoteReference w:id="1"/>
      </w:r>
      <w:r w:rsidR="003977E4" w:rsidRPr="00596D3C">
        <w:t xml:space="preserve"> </w:t>
      </w:r>
      <w:r w:rsidR="00CE7EDF" w:rsidRPr="0074421A">
        <w:t>But Smith and Tummon</w:t>
      </w:r>
      <w:r w:rsidR="009F7509">
        <w:t xml:space="preserve"> </w:t>
      </w:r>
      <w:r w:rsidR="00584F9A">
        <w:t>(1994)</w:t>
      </w:r>
      <w:r w:rsidR="00CE7EDF" w:rsidRPr="0074421A">
        <w:t xml:space="preserve"> raise interesting </w:t>
      </w:r>
      <w:r w:rsidR="00D97EB0" w:rsidRPr="0074421A">
        <w:t>counter to this observati</w:t>
      </w:r>
      <w:r w:rsidR="00D97EB0" w:rsidRPr="00596D3C">
        <w:t xml:space="preserve">on. </w:t>
      </w:r>
      <w:r w:rsidR="00CE7EDF" w:rsidRPr="00596D3C">
        <w:t xml:space="preserve">They argue that the term </w:t>
      </w:r>
      <w:r w:rsidR="00303DD3" w:rsidRPr="00596D3C">
        <w:t xml:space="preserve">‘sex’ in the phrase </w:t>
      </w:r>
      <w:r w:rsidR="00CE7EDF" w:rsidRPr="00596D3C">
        <w:t>‘sex ratio’ has specific meaning within the discipline of reproductive toxicology: ‘in order to communicate with other researchers in this field, standard terminology is required. Sex ratio is a parameter used to monitor biologic health in animal and human populations and refers to the ratio of biologic males to biologic females. In this case, gender is not a substitute for sex.</w:t>
      </w:r>
      <w:r w:rsidR="00CE7EDF" w:rsidRPr="00570C12">
        <w:rPr>
          <w:vertAlign w:val="superscript"/>
        </w:rPr>
        <w:footnoteReference w:id="2"/>
      </w:r>
      <w:r w:rsidR="00CE7EDF" w:rsidRPr="00596D3C">
        <w:t xml:space="preserve"> </w:t>
      </w:r>
      <w:r w:rsidR="009A1984" w:rsidRPr="0074421A">
        <w:t>However literature abound warning on c</w:t>
      </w:r>
      <w:r w:rsidR="00F41191" w:rsidRPr="0074421A">
        <w:t xml:space="preserve">onfusing gender and sex </w:t>
      </w:r>
      <w:r w:rsidR="009A1984" w:rsidRPr="0074421A">
        <w:t xml:space="preserve">because that is </w:t>
      </w:r>
      <w:r w:rsidR="00F41191" w:rsidRPr="0074421A">
        <w:t>ak</w:t>
      </w:r>
      <w:r w:rsidR="00F41191" w:rsidRPr="00596D3C">
        <w:t>in to confusing cultural processes</w:t>
      </w:r>
      <w:r w:rsidR="00B41F2E" w:rsidRPr="00596D3C">
        <w:t xml:space="preserve"> with biological</w:t>
      </w:r>
      <w:r w:rsidR="009F7509">
        <w:t xml:space="preserve"> ones</w:t>
      </w:r>
      <w:r w:rsidR="00F41191" w:rsidRPr="00596D3C">
        <w:t>. Quite often the word g</w:t>
      </w:r>
      <w:r w:rsidR="003977E4" w:rsidRPr="00596D3C">
        <w:t>ender</w:t>
      </w:r>
      <w:r w:rsidR="00F41191" w:rsidRPr="00596D3C">
        <w:t xml:space="preserve"> is used to </w:t>
      </w:r>
      <w:r w:rsidR="003977E4" w:rsidRPr="00596D3C">
        <w:t xml:space="preserve">refer to </w:t>
      </w:r>
      <w:r w:rsidR="009F7509">
        <w:t xml:space="preserve">the </w:t>
      </w:r>
      <w:r w:rsidR="003977E4" w:rsidRPr="00596D3C">
        <w:t xml:space="preserve">cultural and social meanings attached to </w:t>
      </w:r>
      <w:r w:rsidR="00B24EFC">
        <w:t xml:space="preserve">being </w:t>
      </w:r>
      <w:r w:rsidR="003977E4" w:rsidRPr="00596D3C">
        <w:t xml:space="preserve">a man or a woman. </w:t>
      </w:r>
      <w:r w:rsidR="00584F9A">
        <w:t>In this</w:t>
      </w:r>
      <w:r w:rsidR="00981C74" w:rsidRPr="00596D3C">
        <w:t xml:space="preserve"> paper,</w:t>
      </w:r>
      <w:r w:rsidR="003977E4" w:rsidRPr="00596D3C">
        <w:t xml:space="preserve"> gender </w:t>
      </w:r>
      <w:r w:rsidR="00981C74" w:rsidRPr="00596D3C">
        <w:t>will be used to mean</w:t>
      </w:r>
      <w:r w:rsidR="003977E4" w:rsidRPr="00596D3C">
        <w:t xml:space="preserve"> the culturally determined cognitions, attitudes, and belief systems about females and males</w:t>
      </w:r>
      <w:r w:rsidR="00B24EFC">
        <w:t>,</w:t>
      </w:r>
      <w:r w:rsidR="003977E4" w:rsidRPr="00596D3C">
        <w:t xml:space="preserve"> and it varies across cultures, </w:t>
      </w:r>
      <w:r w:rsidR="00B24EFC">
        <w:t xml:space="preserve">it </w:t>
      </w:r>
      <w:r w:rsidR="003977E4" w:rsidRPr="00596D3C">
        <w:t>changes through historical time, and differs in terms of who makes the observations and judgments.</w:t>
      </w:r>
      <w:r w:rsidR="009A1984" w:rsidRPr="00596D3C">
        <w:t xml:space="preserve"> </w:t>
      </w:r>
    </w:p>
    <w:p w14:paraId="1F7BE9C1" w14:textId="428B7E58" w:rsidR="003977E4" w:rsidRDefault="009A1984" w:rsidP="008E6D6F">
      <w:pPr>
        <w:spacing w:after="240"/>
      </w:pPr>
      <w:r w:rsidRPr="00596D3C">
        <w:t>This distinction is important because equivocating on the two</w:t>
      </w:r>
      <w:r w:rsidR="00B24EFC">
        <w:t>,</w:t>
      </w:r>
      <w:r w:rsidRPr="00596D3C">
        <w:t xml:space="preserve"> se</w:t>
      </w:r>
      <w:r w:rsidR="00584F9A">
        <w:t>x</w:t>
      </w:r>
      <w:r w:rsidRPr="00596D3C">
        <w:t xml:space="preserve"> and gender will create confusion in assigning roles when it is not clear what was intended. Thus, sex will refer to </w:t>
      </w:r>
      <w:r w:rsidR="00584F9A" w:rsidRPr="00596D3C">
        <w:t>biological characteristics</w:t>
      </w:r>
      <w:r w:rsidRPr="00596D3C">
        <w:t xml:space="preserve"> of being male or female while </w:t>
      </w:r>
      <w:r w:rsidR="00584F9A">
        <w:t>gender</w:t>
      </w:r>
      <w:r w:rsidR="00584F9A" w:rsidRPr="00596D3C">
        <w:t xml:space="preserve"> will</w:t>
      </w:r>
      <w:r w:rsidRPr="00596D3C">
        <w:t xml:space="preserve"> refer to the social construct that refers to the internal sense of self, whether an individual </w:t>
      </w:r>
      <w:r w:rsidR="00584F9A">
        <w:t xml:space="preserve">perceive </w:t>
      </w:r>
      <w:r w:rsidRPr="00596D3C">
        <w:t xml:space="preserve">themselves </w:t>
      </w:r>
      <w:r w:rsidR="00584F9A">
        <w:t xml:space="preserve">either </w:t>
      </w:r>
      <w:r w:rsidRPr="00596D3C">
        <w:t>as a man or a woman, or another</w:t>
      </w:r>
      <w:r w:rsidR="00584F9A">
        <w:t xml:space="preserve"> ascribed </w:t>
      </w:r>
      <w:r w:rsidRPr="00596D3C">
        <w:t xml:space="preserve"> gender identity.</w:t>
      </w:r>
      <w:r w:rsidR="009C1EE6" w:rsidRPr="00596D3C">
        <w:t xml:space="preserve"> </w:t>
      </w:r>
      <w:r w:rsidR="003977E4" w:rsidRPr="00596D3C">
        <w:t>Significant differences</w:t>
      </w:r>
      <w:r w:rsidR="00584F9A">
        <w:t xml:space="preserve"> between sex and gender</w:t>
      </w:r>
      <w:r w:rsidR="003977E4" w:rsidRPr="00596D3C">
        <w:t xml:space="preserve"> include the following</w:t>
      </w:r>
      <w:r w:rsidR="00595484">
        <w:t>;</w:t>
      </w:r>
      <w:r w:rsidR="003977E4" w:rsidRPr="00596D3C">
        <w:t xml:space="preserve"> that, sex is determined by genetics and biology while gender is produced and reproduced by society; that, sex is permanent whereas gender varies over time and across cultures; that, sex is an individual ownership while gender is a social and relational quality</w:t>
      </w:r>
      <w:r w:rsidR="00EB6166" w:rsidRPr="00596D3C">
        <w:t>.</w:t>
      </w:r>
      <w:r w:rsidR="003977E4" w:rsidRPr="008E6D6F">
        <w:rPr>
          <w:vertAlign w:val="superscript"/>
        </w:rPr>
        <w:footnoteReference w:id="3"/>
      </w:r>
      <w:r w:rsidR="003977E4" w:rsidRPr="0074421A">
        <w:t xml:space="preserve"> The last two</w:t>
      </w:r>
      <w:r w:rsidR="00584F9A">
        <w:t>, social and relational quality are</w:t>
      </w:r>
      <w:r w:rsidR="003977E4" w:rsidRPr="0074421A">
        <w:t xml:space="preserve"> important. Society</w:t>
      </w:r>
      <w:r w:rsidR="00595484">
        <w:t xml:space="preserve">, </w:t>
      </w:r>
      <w:r w:rsidR="003977E4" w:rsidRPr="0074421A">
        <w:lastRenderedPageBreak/>
        <w:t>through culture</w:t>
      </w:r>
      <w:r w:rsidR="00595484">
        <w:t>,</w:t>
      </w:r>
      <w:r w:rsidR="003977E4" w:rsidRPr="0074421A">
        <w:t xml:space="preserve"> create</w:t>
      </w:r>
      <w:r w:rsidR="004B6123" w:rsidRPr="0074421A">
        <w:t>s</w:t>
      </w:r>
      <w:r w:rsidR="003977E4" w:rsidRPr="0074421A">
        <w:t xml:space="preserve"> </w:t>
      </w:r>
      <w:r w:rsidR="009C1EE6" w:rsidRPr="0074421A">
        <w:t xml:space="preserve">and defines </w:t>
      </w:r>
      <w:r w:rsidR="003977E4" w:rsidRPr="00596D3C">
        <w:t xml:space="preserve">gender </w:t>
      </w:r>
      <w:r w:rsidR="009C1EE6" w:rsidRPr="00596D3C">
        <w:t xml:space="preserve">roles on which meaning is attached </w:t>
      </w:r>
      <w:r w:rsidR="00A7536C" w:rsidRPr="00596D3C">
        <w:t>includ</w:t>
      </w:r>
      <w:r w:rsidR="002539FF">
        <w:t>ing</w:t>
      </w:r>
      <w:r w:rsidR="00A7536C">
        <w:t xml:space="preserve"> </w:t>
      </w:r>
      <w:r w:rsidR="00A7536C" w:rsidRPr="005C3E35">
        <w:t>perception</w:t>
      </w:r>
      <w:r w:rsidR="003977E4" w:rsidRPr="005C3E35">
        <w:t xml:space="preserve"> and significance wh</w:t>
      </w:r>
      <w:r w:rsidR="002539FF">
        <w:t>ose</w:t>
      </w:r>
      <w:r w:rsidR="003977E4" w:rsidRPr="005C3E35">
        <w:t xml:space="preserve"> </w:t>
      </w:r>
      <w:r w:rsidR="009C1EE6">
        <w:t xml:space="preserve">attributes </w:t>
      </w:r>
      <w:r w:rsidR="003977E4" w:rsidRPr="005C3E35">
        <w:t xml:space="preserve">are embedded and </w:t>
      </w:r>
      <w:r w:rsidR="006F1E54">
        <w:t xml:space="preserve">transmitted </w:t>
      </w:r>
      <w:r w:rsidR="003977E4" w:rsidRPr="005C3E35">
        <w:t>through social</w:t>
      </w:r>
      <w:r w:rsidR="006F1E54">
        <w:t xml:space="preserve">ly constructed </w:t>
      </w:r>
      <w:r w:rsidR="003977E4" w:rsidRPr="005C3E35">
        <w:t xml:space="preserve">values and practices. These social prescriptions </w:t>
      </w:r>
      <w:r w:rsidR="006F1E54">
        <w:t xml:space="preserve">become the defining characteristics </w:t>
      </w:r>
      <w:r w:rsidR="006B0492">
        <w:t xml:space="preserve">with potential to </w:t>
      </w:r>
      <w:r w:rsidR="00584F9A">
        <w:t xml:space="preserve">express </w:t>
      </w:r>
      <w:r w:rsidR="003977E4" w:rsidRPr="005C3E35">
        <w:t xml:space="preserve">personal identity </w:t>
      </w:r>
      <w:r w:rsidR="006B0492">
        <w:t xml:space="preserve">and who the individual ought to become; </w:t>
      </w:r>
      <w:r w:rsidR="003977E4" w:rsidRPr="005C3E35">
        <w:t>either male or female, which prescriptions are derived from society’s perception of one’s sex, again, either as male or female</w:t>
      </w:r>
      <w:r w:rsidR="002539FF">
        <w:t xml:space="preserve"> therefore </w:t>
      </w:r>
      <w:r w:rsidR="003977E4" w:rsidRPr="005C3E35">
        <w:t>leav</w:t>
      </w:r>
      <w:r w:rsidR="002539FF">
        <w:t>ing</w:t>
      </w:r>
      <w:r w:rsidR="003977E4" w:rsidRPr="005C3E35">
        <w:t xml:space="preserve"> no room for ambiguous </w:t>
      </w:r>
      <w:r w:rsidR="00BF7ADA" w:rsidRPr="005C3E35">
        <w:t>se</w:t>
      </w:r>
      <w:r w:rsidR="00BF7ADA">
        <w:t>lf-presentation by the individual.</w:t>
      </w:r>
      <w:r w:rsidR="003977E4" w:rsidRPr="005C3E35">
        <w:t xml:space="preserve"> Consequently males are to engage sexually with females with each expected to perform duties and roles associated with the gender </w:t>
      </w:r>
      <w:r w:rsidR="00BF7ADA">
        <w:t xml:space="preserve">in </w:t>
      </w:r>
      <w:r w:rsidR="003977E4" w:rsidRPr="005C3E35">
        <w:t>correspond</w:t>
      </w:r>
      <w:r w:rsidR="00BF7ADA">
        <w:t xml:space="preserve">ence with </w:t>
      </w:r>
      <w:r w:rsidR="003977E4" w:rsidRPr="005C3E35">
        <w:t>one’s assigned sex at birth</w:t>
      </w:r>
      <w:r w:rsidR="00BF7ADA">
        <w:t>.</w:t>
      </w:r>
      <w:r w:rsidR="003977E4" w:rsidRPr="005C3E35">
        <w:t xml:space="preserve"> </w:t>
      </w:r>
    </w:p>
    <w:p w14:paraId="6FC3469C" w14:textId="1D6F2F32" w:rsidR="003977E4" w:rsidRPr="005C3E35" w:rsidRDefault="003977E4" w:rsidP="008E6D6F">
      <w:pPr>
        <w:spacing w:after="240"/>
      </w:pPr>
      <w:r w:rsidRPr="005C3E35">
        <w:t>Thus, when it comes to gender perceptions</w:t>
      </w:r>
      <w:r w:rsidR="00BF7ADA">
        <w:t>,</w:t>
      </w:r>
      <w:r w:rsidRPr="005C3E35">
        <w:t xml:space="preserve"> culture plays a significant role in </w:t>
      </w:r>
      <w:r w:rsidR="00595484" w:rsidRPr="005C3E35">
        <w:t>influenc</w:t>
      </w:r>
      <w:r w:rsidR="00595484">
        <w:t xml:space="preserve">ing the </w:t>
      </w:r>
      <w:r w:rsidRPr="005C3E35">
        <w:t>thinking, and behaviour</w:t>
      </w:r>
      <w:r w:rsidR="00A61897">
        <w:t xml:space="preserve"> </w:t>
      </w:r>
      <w:r w:rsidR="00BF7ADA">
        <w:t>towards the members.</w:t>
      </w:r>
      <w:r w:rsidRPr="005C3E35">
        <w:t xml:space="preserve"> The social environment in</w:t>
      </w:r>
      <w:r w:rsidR="00A61897">
        <w:t>to</w:t>
      </w:r>
      <w:r w:rsidRPr="005C3E35">
        <w:t xml:space="preserve"> which individuals are born and live</w:t>
      </w:r>
      <w:r w:rsidR="00BF7ADA">
        <w:t>,</w:t>
      </w:r>
      <w:r w:rsidR="00BE2E97">
        <w:t xml:space="preserve"> </w:t>
      </w:r>
      <w:r w:rsidR="004D56CE">
        <w:t xml:space="preserve">not only </w:t>
      </w:r>
      <w:r w:rsidRPr="005C3E35">
        <w:t>shape</w:t>
      </w:r>
      <w:r w:rsidR="00BE2E97">
        <w:t>s</w:t>
      </w:r>
      <w:r w:rsidRPr="005C3E35">
        <w:t xml:space="preserve"> their attitudinal, emotional and behavioural reactions</w:t>
      </w:r>
      <w:r w:rsidR="00536BFC">
        <w:t>,</w:t>
      </w:r>
      <w:r w:rsidRPr="005C3E35">
        <w:t xml:space="preserve"> </w:t>
      </w:r>
      <w:r w:rsidR="004D56CE">
        <w:t xml:space="preserve">but also determines their </w:t>
      </w:r>
      <w:r w:rsidR="00EE2E70">
        <w:t>p</w:t>
      </w:r>
      <w:r w:rsidRPr="005C3E35">
        <w:t xml:space="preserve">erceptions and the social expectations. </w:t>
      </w:r>
      <w:r w:rsidR="004D56CE">
        <w:t>I</w:t>
      </w:r>
      <w:r w:rsidR="004D56CE" w:rsidRPr="005C3E35">
        <w:t xml:space="preserve">ndeterminate sex identity </w:t>
      </w:r>
      <w:r w:rsidR="004D56CE">
        <w:t>is then glossed over and not worth paying attention to since it runs contrary to c</w:t>
      </w:r>
      <w:r w:rsidRPr="005C3E35">
        <w:t xml:space="preserve">ultural </w:t>
      </w:r>
      <w:r w:rsidR="00A3795B">
        <w:t xml:space="preserve">dictates that </w:t>
      </w:r>
      <w:r w:rsidRPr="005C3E35">
        <w:t>reflect differences in gender roles</w:t>
      </w:r>
      <w:r w:rsidR="00A3795B">
        <w:t xml:space="preserve">. For society, one </w:t>
      </w:r>
      <w:r w:rsidRPr="005C3E35">
        <w:t xml:space="preserve">has to be </w:t>
      </w:r>
      <w:r w:rsidR="00A3795B">
        <w:t>male or female</w:t>
      </w:r>
      <w:r w:rsidRPr="005C3E35">
        <w:t>.</w:t>
      </w:r>
      <w:r w:rsidR="00EB6166">
        <w:rPr>
          <w:rStyle w:val="FootnoteReference"/>
        </w:rPr>
        <w:footnoteReference w:id="4"/>
      </w:r>
      <w:r w:rsidRPr="005C3E35">
        <w:t xml:space="preserve"> </w:t>
      </w:r>
      <w:r w:rsidR="00BE2E97">
        <w:t>It</w:t>
      </w:r>
      <w:r w:rsidR="00536BFC">
        <w:t xml:space="preserve"> is</w:t>
      </w:r>
      <w:r w:rsidR="00BE2E97">
        <w:t xml:space="preserve"> worth noting however that </w:t>
      </w:r>
      <w:r w:rsidR="007A4A34">
        <w:t>al</w:t>
      </w:r>
      <w:r w:rsidR="00BE2E97" w:rsidRPr="005C3E35">
        <w:t>though</w:t>
      </w:r>
      <w:r w:rsidRPr="005C3E35">
        <w:t xml:space="preserve"> gender is culturally determined</w:t>
      </w:r>
      <w:r w:rsidR="00BE2E97">
        <w:t xml:space="preserve"> and </w:t>
      </w:r>
      <w:r w:rsidRPr="005C3E35">
        <w:t xml:space="preserve">since culture is dynamic, gender perceptions, views and roles </w:t>
      </w:r>
      <w:r w:rsidR="00BE2E97">
        <w:t xml:space="preserve">ought to be </w:t>
      </w:r>
      <w:r w:rsidRPr="005C3E35">
        <w:t>equally dynamic, hence chang</w:t>
      </w:r>
      <w:r w:rsidR="007A4A34">
        <w:t>ing</w:t>
      </w:r>
      <w:r w:rsidRPr="005C3E35">
        <w:t xml:space="preserve"> </w:t>
      </w:r>
      <w:r w:rsidR="00BE2E97">
        <w:t>with</w:t>
      </w:r>
      <w:r w:rsidRPr="005C3E35">
        <w:t xml:space="preserve"> time and </w:t>
      </w:r>
      <w:r w:rsidR="007A4A34">
        <w:t xml:space="preserve">in </w:t>
      </w:r>
      <w:r w:rsidR="00BE2E97">
        <w:t>space</w:t>
      </w:r>
      <w:r w:rsidRPr="005C3E35">
        <w:t xml:space="preserve">. This understanding and perception however limits </w:t>
      </w:r>
      <w:r w:rsidR="00BE2E97">
        <w:t>our</w:t>
      </w:r>
      <w:r w:rsidRPr="005C3E35">
        <w:t xml:space="preserve"> experience of gender </w:t>
      </w:r>
      <w:r w:rsidR="007A4A34">
        <w:t xml:space="preserve">to </w:t>
      </w:r>
      <w:r w:rsidRPr="005C3E35">
        <w:t xml:space="preserve">culturally defined parameters </w:t>
      </w:r>
      <w:r w:rsidR="00BE2E97">
        <w:t xml:space="preserve">which </w:t>
      </w:r>
      <w:r w:rsidRPr="005C3E35">
        <w:t xml:space="preserve">substantially ignore the individual. </w:t>
      </w:r>
      <w:r w:rsidR="00BE2E97">
        <w:t xml:space="preserve">The flip side of this argument will hold that </w:t>
      </w:r>
      <w:r w:rsidRPr="005C3E35">
        <w:t>one’s gender identity</w:t>
      </w:r>
      <w:r w:rsidR="00BD7D88">
        <w:t xml:space="preserve"> </w:t>
      </w:r>
      <w:r w:rsidRPr="005C3E35">
        <w:t>is defined by the personal experience of own</w:t>
      </w:r>
      <w:r w:rsidR="00BD7D88">
        <w:t xml:space="preserve"> </w:t>
      </w:r>
      <w:hyperlink r:id="rId8" w:tooltip="Gender" w:history="1">
        <w:r w:rsidRPr="005C3E35">
          <w:t>gender</w:t>
        </w:r>
      </w:hyperlink>
      <w:r w:rsidRPr="005C3E35">
        <w:t>. I</w:t>
      </w:r>
      <w:r w:rsidR="00BE2E97">
        <w:t>f this be granted, then</w:t>
      </w:r>
      <w:r w:rsidRPr="005C3E35">
        <w:t xml:space="preserve"> gender identity can correlate with</w:t>
      </w:r>
      <w:r w:rsidR="00BD7D88">
        <w:t xml:space="preserve"> </w:t>
      </w:r>
      <w:hyperlink r:id="rId9" w:tooltip="Assigned sex" w:history="1">
        <w:r w:rsidRPr="005C3E35">
          <w:t>assigned sex</w:t>
        </w:r>
      </w:hyperlink>
      <w:r w:rsidR="00BD7D88">
        <w:t xml:space="preserve"> </w:t>
      </w:r>
      <w:r w:rsidRPr="005C3E35">
        <w:t>at birth, or can differ from it.</w:t>
      </w:r>
      <w:r w:rsidR="00643C59">
        <w:rPr>
          <w:rStyle w:val="FootnoteReference"/>
          <w:color w:val="222222"/>
        </w:rPr>
        <w:footnoteReference w:id="5"/>
      </w:r>
      <w:r w:rsidRPr="005C3E35">
        <w:t xml:space="preserve"> As observed above</w:t>
      </w:r>
      <w:r w:rsidR="004B6123">
        <w:t>,</w:t>
      </w:r>
      <w:r w:rsidRPr="005C3E35">
        <w:t xml:space="preserve"> all societies have a set of gender categories that serve</w:t>
      </w:r>
      <w:r w:rsidR="00B41F2E">
        <w:t xml:space="preserve"> as basis for the formation of</w:t>
      </w:r>
      <w:r w:rsidRPr="005C3E35">
        <w:t xml:space="preserve"> individuals’ social identity</w:t>
      </w:r>
      <w:r w:rsidR="00A3795B">
        <w:t>. This defines how individuals relate in</w:t>
      </w:r>
      <w:r w:rsidRPr="005C3E35">
        <w:t xml:space="preserve"> to other member</w:t>
      </w:r>
      <w:r w:rsidR="00000E11">
        <w:t>s</w:t>
      </w:r>
      <w:r w:rsidRPr="005C3E35">
        <w:t xml:space="preserve"> of </w:t>
      </w:r>
      <w:r w:rsidR="00A3795B">
        <w:t xml:space="preserve">the </w:t>
      </w:r>
      <w:r w:rsidRPr="005C3E35">
        <w:t xml:space="preserve">society. This categorization provides a basis for division between gender attributes assigned </w:t>
      </w:r>
      <w:r w:rsidR="00A3795B">
        <w:t>to</w:t>
      </w:r>
      <w:r w:rsidRPr="005C3E35">
        <w:t xml:space="preserve"> males and females, some </w:t>
      </w:r>
      <w:r w:rsidRPr="005C3E35">
        <w:lastRenderedPageBreak/>
        <w:t>kind of gender binary to which most individuals adhere</w:t>
      </w:r>
      <w:r w:rsidR="00A3795B">
        <w:t xml:space="preserve">. </w:t>
      </w:r>
      <w:r w:rsidR="00A3795B" w:rsidRPr="00A3795B">
        <w:t xml:space="preserve">This </w:t>
      </w:r>
      <w:r w:rsidR="00F149D2" w:rsidRPr="00A3795B">
        <w:t xml:space="preserve">includes </w:t>
      </w:r>
      <w:r w:rsidR="00A3795B" w:rsidRPr="00A3795B">
        <w:t xml:space="preserve">but not limited to </w:t>
      </w:r>
      <w:r w:rsidR="00F149D2" w:rsidRPr="00A3795B">
        <w:t>expectations of masculinity and femininity</w:t>
      </w:r>
      <w:r w:rsidR="00A3795B" w:rsidRPr="00A3795B">
        <w:t xml:space="preserve">, </w:t>
      </w:r>
      <w:r w:rsidR="00F149D2" w:rsidRPr="00A3795B">
        <w:t>gender identity and sex-gender expression.</w:t>
      </w:r>
      <w:r w:rsidRPr="00A3795B">
        <w:t xml:space="preserve"> </w:t>
      </w:r>
      <w:r w:rsidR="008A2EB1" w:rsidRPr="00596D3C">
        <w:t>However</w:t>
      </w:r>
      <w:r w:rsidR="002D0985" w:rsidRPr="00596D3C">
        <w:t xml:space="preserve">, </w:t>
      </w:r>
      <w:r w:rsidR="00A3795B">
        <w:t xml:space="preserve">it is also </w:t>
      </w:r>
      <w:r w:rsidR="00514C55">
        <w:t xml:space="preserve">true </w:t>
      </w:r>
      <w:r w:rsidR="00514C55" w:rsidRPr="00596D3C">
        <w:t>that</w:t>
      </w:r>
      <w:r w:rsidRPr="00596D3C">
        <w:t xml:space="preserve"> some people do not identify with some or even most aspects assigned</w:t>
      </w:r>
      <w:r w:rsidRPr="005C3E35">
        <w:t xml:space="preserve"> to their biological sex: some are transgender, gender</w:t>
      </w:r>
      <w:r>
        <w:t>-</w:t>
      </w:r>
      <w:r w:rsidRPr="005C3E35">
        <w:t>queer or even non-binary. In many societies, these are categorized as minorit</w:t>
      </w:r>
      <w:r w:rsidR="00000E11">
        <w:t>ies</w:t>
      </w:r>
      <w:r w:rsidRPr="005C3E35">
        <w:t>.</w:t>
      </w:r>
      <w:r w:rsidR="008A2EB1">
        <w:rPr>
          <w:rStyle w:val="FootnoteReference"/>
          <w:color w:val="222222"/>
        </w:rPr>
        <w:footnoteReference w:id="6"/>
      </w:r>
      <w:r w:rsidRPr="005C3E35">
        <w:t xml:space="preserve"> </w:t>
      </w:r>
    </w:p>
    <w:p w14:paraId="3178C309" w14:textId="5CD238B9" w:rsidR="003977E4" w:rsidRDefault="003977E4" w:rsidP="00570C12">
      <w:pPr>
        <w:spacing w:after="240"/>
      </w:pPr>
      <w:r w:rsidRPr="005C3E35">
        <w:t xml:space="preserve">At this point </w:t>
      </w:r>
      <w:r w:rsidR="00653CE5">
        <w:t>several questions</w:t>
      </w:r>
      <w:r w:rsidR="000D4740">
        <w:t xml:space="preserve"> may arise</w:t>
      </w:r>
      <w:r w:rsidRPr="005C3E35">
        <w:t xml:space="preserve">: </w:t>
      </w:r>
      <w:r w:rsidR="00653CE5">
        <w:t>First</w:t>
      </w:r>
      <w:r w:rsidR="002D0985">
        <w:t xml:space="preserve">, </w:t>
      </w:r>
      <w:r w:rsidRPr="005C3E35">
        <w:t>are there cultural premises of discrimination</w:t>
      </w:r>
      <w:r w:rsidR="00653CE5">
        <w:t>?</w:t>
      </w:r>
      <w:r w:rsidRPr="005C3E35">
        <w:t xml:space="preserve"> </w:t>
      </w:r>
      <w:r w:rsidR="00653CE5">
        <w:t>Second</w:t>
      </w:r>
      <w:r w:rsidR="002D0985">
        <w:t>,</w:t>
      </w:r>
      <w:r w:rsidR="00653CE5">
        <w:t xml:space="preserve"> </w:t>
      </w:r>
      <w:r w:rsidR="002D0985">
        <w:t>d</w:t>
      </w:r>
      <w:r w:rsidRPr="005C3E35">
        <w:t xml:space="preserve">oes </w:t>
      </w:r>
      <w:r w:rsidR="00000E11">
        <w:t xml:space="preserve">the </w:t>
      </w:r>
      <w:r w:rsidRPr="005C3E35">
        <w:t xml:space="preserve">masculinity/femininity divide provide guidance </w:t>
      </w:r>
      <w:r w:rsidR="000D4740">
        <w:t xml:space="preserve">for </w:t>
      </w:r>
      <w:r w:rsidRPr="005C3E35">
        <w:t xml:space="preserve">this discrimination? </w:t>
      </w:r>
      <w:r w:rsidR="002D0985">
        <w:t>Finally</w:t>
      </w:r>
      <w:r w:rsidR="00653CE5">
        <w:t>,</w:t>
      </w:r>
      <w:r w:rsidR="00BD7D88">
        <w:t xml:space="preserve"> </w:t>
      </w:r>
      <w:r w:rsidRPr="005C3E35">
        <w:t>is it possible</w:t>
      </w:r>
      <w:r w:rsidR="00653CE5">
        <w:t xml:space="preserve"> that</w:t>
      </w:r>
      <w:r w:rsidRPr="005C3E35">
        <w:t xml:space="preserve"> these cultural premises of discrimination are related to the whole context </w:t>
      </w:r>
      <w:r w:rsidR="00514C55">
        <w:t xml:space="preserve">of </w:t>
      </w:r>
      <w:r w:rsidR="00514C55" w:rsidRPr="005C3E35">
        <w:t>socio</w:t>
      </w:r>
      <w:r w:rsidRPr="005C3E35">
        <w:t xml:space="preserve">-cultural mentalities as well as economic and political </w:t>
      </w:r>
      <w:r w:rsidR="00514C55" w:rsidRPr="005C3E35">
        <w:t>ideology</w:t>
      </w:r>
      <w:r w:rsidRPr="005C3E35">
        <w:t xml:space="preserve">? It would be risky to consider the values involved by this cultural dimension as defining and determining. </w:t>
      </w:r>
      <w:r w:rsidR="00B41F2E">
        <w:t>But even if this were the case, recourse to l</w:t>
      </w:r>
      <w:r w:rsidRPr="005C3E35">
        <w:t xml:space="preserve">aw </w:t>
      </w:r>
      <w:r w:rsidR="00B41F2E">
        <w:t xml:space="preserve">becomes an </w:t>
      </w:r>
      <w:r w:rsidRPr="005C3E35">
        <w:t xml:space="preserve">important component to be considered, because it </w:t>
      </w:r>
      <w:r w:rsidR="000D4740">
        <w:t xml:space="preserve">not only </w:t>
      </w:r>
      <w:r w:rsidRPr="005C3E35">
        <w:t xml:space="preserve">makes us all human </w:t>
      </w:r>
      <w:r w:rsidR="00AF5307" w:rsidRPr="005C3E35">
        <w:t>and</w:t>
      </w:r>
      <w:r w:rsidR="00AF5307">
        <w:t xml:space="preserve"> </w:t>
      </w:r>
      <w:r w:rsidR="00AF5307" w:rsidRPr="005C3E35">
        <w:t>equal</w:t>
      </w:r>
      <w:r w:rsidR="000D4740">
        <w:t>, but it confers dignity to member of the human population</w:t>
      </w:r>
      <w:r w:rsidRPr="005C3E35">
        <w:t xml:space="preserve">. </w:t>
      </w:r>
    </w:p>
    <w:p w14:paraId="7938AEAE" w14:textId="32EA3030" w:rsidR="000F3B6C" w:rsidRDefault="00DC02EE" w:rsidP="00C00B22">
      <w:pPr>
        <w:spacing w:after="240"/>
      </w:pPr>
      <w:r>
        <w:t xml:space="preserve">The argument in this paper is that </w:t>
      </w:r>
      <w:r w:rsidR="003977E4">
        <w:t>discrimination based on social and cultural paradigms breed</w:t>
      </w:r>
      <w:r w:rsidR="00D06182">
        <w:t>s</w:t>
      </w:r>
      <w:r w:rsidR="003977E4">
        <w:t xml:space="preserve"> conditions in which human rights are violated on account of differen</w:t>
      </w:r>
      <w:r w:rsidR="00877503">
        <w:t>ce</w:t>
      </w:r>
      <w:r w:rsidR="00AF5307">
        <w:t xml:space="preserve"> and </w:t>
      </w:r>
      <w:r w:rsidR="00877503">
        <w:t xml:space="preserve">discrimination of </w:t>
      </w:r>
      <w:r w:rsidR="003977E4">
        <w:t>minority</w:t>
      </w:r>
      <w:r w:rsidR="00877503">
        <w:t xml:space="preserve"> groups among them the LGBTQI</w:t>
      </w:r>
      <w:r w:rsidR="003977E4">
        <w:t xml:space="preserve">. </w:t>
      </w:r>
      <w:r>
        <w:t xml:space="preserve">Even if it were possible to justify discrimination </w:t>
      </w:r>
      <w:r w:rsidR="001527E9">
        <w:t xml:space="preserve">on the basis of </w:t>
      </w:r>
      <w:r>
        <w:t xml:space="preserve">culture, the very idea that culture is dynamic </w:t>
      </w:r>
      <w:r w:rsidR="001E1C1D">
        <w:t>opens opportunity for a plethora of contradictions.</w:t>
      </w:r>
      <w:r>
        <w:t xml:space="preserve"> </w:t>
      </w:r>
      <w:r w:rsidR="000F3B6C">
        <w:t>That is how human rights defenders come: to se</w:t>
      </w:r>
      <w:r w:rsidR="000F3B6C" w:rsidRPr="00F658B6">
        <w:t>ek the promotion and protection of civil and political rights as well as the promotion, protection and realization of economic, social and cultural rights.</w:t>
      </w:r>
    </w:p>
    <w:p w14:paraId="7C5F0F4D" w14:textId="6B743800" w:rsidR="000F3B6C" w:rsidRPr="00F658B6" w:rsidRDefault="000F3B6C" w:rsidP="007E6C12">
      <w:pPr>
        <w:spacing w:after="240"/>
      </w:pPr>
      <w:r>
        <w:t xml:space="preserve">Human rights defenders are people who, individually or collectively with others, act to promote and protect human rights in a peaceful manner. These individuals are identified by what they do and the contexts in which they work. Their work and is </w:t>
      </w:r>
      <w:r w:rsidRPr="00F658B6">
        <w:t>to address any human right</w:t>
      </w:r>
      <w:r>
        <w:t>s</w:t>
      </w:r>
      <w:r w:rsidRPr="00F658B6">
        <w:t xml:space="preserve"> on behalf of individuals or groups.</w:t>
      </w:r>
      <w:r w:rsidR="00C00B22">
        <w:rPr>
          <w:rStyle w:val="FootnoteReference"/>
        </w:rPr>
        <w:footnoteReference w:id="7"/>
      </w:r>
      <w:r w:rsidRPr="00F658B6">
        <w:t xml:space="preserve"> </w:t>
      </w:r>
      <w:r>
        <w:t>To this end therefore, h</w:t>
      </w:r>
      <w:r w:rsidRPr="00F658B6">
        <w:t xml:space="preserve">uman rights defenders are instrumental in defending victims of human </w:t>
      </w:r>
      <w:r w:rsidRPr="00F658B6">
        <w:lastRenderedPageBreak/>
        <w:t>rights violations and ensuring their access to redress and remedy</w:t>
      </w:r>
      <w:r>
        <w:t>. Through these h</w:t>
      </w:r>
      <w:r w:rsidRPr="00F658B6">
        <w:t>uman rights defenders play a central role in making state policies human rights compliant and authorities accountable</w:t>
      </w:r>
      <w:r w:rsidR="007E6C12" w:rsidRPr="00F658B6">
        <w:t>.</w:t>
      </w:r>
    </w:p>
    <w:p w14:paraId="00DF0D8F" w14:textId="3E4B6767" w:rsidR="003977E4" w:rsidRDefault="00C00B22" w:rsidP="00570C12">
      <w:pPr>
        <w:spacing w:after="240"/>
      </w:pPr>
      <w:r>
        <w:t>Since t</w:t>
      </w:r>
      <w:r w:rsidR="003977E4">
        <w:t xml:space="preserve">he work of human rights defenders is to create awareness among members of society and pass the message that to be different is not criminal and </w:t>
      </w:r>
      <w:r w:rsidR="00AF5307">
        <w:t xml:space="preserve">need </w:t>
      </w:r>
      <w:r w:rsidR="003977E4">
        <w:t xml:space="preserve">not </w:t>
      </w:r>
      <w:r w:rsidR="00AF5307">
        <w:t>invite discrimination</w:t>
      </w:r>
      <w:r>
        <w:t>, they have on many occasions stood up to the offending laws in Kenya’s statute books in a bid to have the gains of Constitution 2010, apply to all. One such law is Cap 63 Laws of Kenya, in particular article 162 and 165</w:t>
      </w:r>
      <w:r w:rsidR="007E6C12">
        <w:t>.</w:t>
      </w:r>
    </w:p>
    <w:p w14:paraId="0817DFE6" w14:textId="77777777" w:rsidR="003977E4" w:rsidRPr="005C3E35" w:rsidRDefault="003977E4" w:rsidP="009F427F">
      <w:pPr>
        <w:pStyle w:val="Heading2"/>
      </w:pPr>
      <w:r w:rsidRPr="005C3E35">
        <w:t>Social expectations and discrimination</w:t>
      </w:r>
    </w:p>
    <w:p w14:paraId="16F52FD5" w14:textId="7BF95A4A" w:rsidR="007F71A1" w:rsidRPr="00217346" w:rsidRDefault="00BC1270" w:rsidP="00570C12">
      <w:pPr>
        <w:spacing w:after="240"/>
      </w:pPr>
      <w:r w:rsidRPr="00596D3C">
        <w:t xml:space="preserve">Social institutions provide the </w:t>
      </w:r>
      <w:r w:rsidR="00D35B13">
        <w:t>parameters and processes that model human behaviour towards conformity for social harmony.</w:t>
      </w:r>
      <w:r w:rsidRPr="00596D3C">
        <w:t xml:space="preserve"> </w:t>
      </w:r>
      <w:r w:rsidR="00FB292F">
        <w:t>Further, t</w:t>
      </w:r>
      <w:r w:rsidRPr="00596D3C">
        <w:t xml:space="preserve">he institutions </w:t>
      </w:r>
      <w:r w:rsidR="007E6C12" w:rsidRPr="00596D3C">
        <w:t>define values</w:t>
      </w:r>
      <w:r w:rsidRPr="00596D3C">
        <w:t xml:space="preserve">, ideals and a normative system that determine and </w:t>
      </w:r>
      <w:r w:rsidR="00FB292F">
        <w:t xml:space="preserve">reinforce </w:t>
      </w:r>
      <w:r w:rsidRPr="00596D3C">
        <w:t xml:space="preserve">order in society. </w:t>
      </w:r>
      <w:r w:rsidR="00FB292F">
        <w:t xml:space="preserve">However, despite institutions working together to provide a facilitative environment for individuals to thrive, they </w:t>
      </w:r>
      <w:r w:rsidR="007F71A1" w:rsidRPr="00596D3C">
        <w:t xml:space="preserve">cannot entirely define </w:t>
      </w:r>
      <w:r w:rsidR="00FB292F">
        <w:t>individual</w:t>
      </w:r>
      <w:r w:rsidR="007F71A1" w:rsidRPr="00596D3C">
        <w:t xml:space="preserve"> personality</w:t>
      </w:r>
      <w:r w:rsidR="00120FD0">
        <w:t xml:space="preserve">. </w:t>
      </w:r>
      <w:r w:rsidR="00FB292F">
        <w:t xml:space="preserve">The discipline of psychology in explaining human personality </w:t>
      </w:r>
      <w:r w:rsidR="00120FD0">
        <w:t xml:space="preserve">defines </w:t>
      </w:r>
      <w:r w:rsidR="007F71A1" w:rsidRPr="00596D3C">
        <w:t xml:space="preserve">our individual differences in </w:t>
      </w:r>
      <w:r w:rsidR="00120FD0">
        <w:t xml:space="preserve">terms of </w:t>
      </w:r>
      <w:r w:rsidR="007F71A1" w:rsidRPr="00596D3C">
        <w:t>patterns of thought, feelings and behaving.</w:t>
      </w:r>
      <w:r w:rsidR="00377C21">
        <w:rPr>
          <w:rStyle w:val="FootnoteReference"/>
        </w:rPr>
        <w:footnoteReference w:id="8"/>
      </w:r>
      <w:r w:rsidR="007F71A1" w:rsidRPr="00596D3C">
        <w:t xml:space="preserve"> In one’s personality we read sociability or irritability, we perceive and interact with the sum of one’s physical, mental and social qualities in an integrated manner. Personality thus, reveals the sum of the one’s ideas, attitudes, and values</w:t>
      </w:r>
      <w:r w:rsidR="00FB292F">
        <w:t xml:space="preserve"> which </w:t>
      </w:r>
      <w:r w:rsidR="007F71A1" w:rsidRPr="00596D3C">
        <w:t>collectively determine ones role in society</w:t>
      </w:r>
      <w:r w:rsidR="00FB292F">
        <w:t>,</w:t>
      </w:r>
      <w:r w:rsidR="007F71A1" w:rsidRPr="00596D3C">
        <w:t xml:space="preserve"> and form</w:t>
      </w:r>
      <w:r w:rsidR="00FB292F">
        <w:t>s</w:t>
      </w:r>
      <w:r w:rsidR="007F71A1" w:rsidRPr="00596D3C">
        <w:t xml:space="preserve"> an integral part of one’s character.</w:t>
      </w:r>
      <w:r w:rsidR="00377C21">
        <w:rPr>
          <w:rStyle w:val="FootnoteReference"/>
        </w:rPr>
        <w:footnoteReference w:id="9"/>
      </w:r>
      <w:r w:rsidR="007F71A1" w:rsidRPr="00596D3C">
        <w:t xml:space="preserve"> The role of </w:t>
      </w:r>
      <w:r w:rsidR="00FB292F">
        <w:t xml:space="preserve">social institutions therefore </w:t>
      </w:r>
      <w:r w:rsidR="00E1506A">
        <w:t xml:space="preserve">is </w:t>
      </w:r>
      <w:r w:rsidR="00E1506A" w:rsidRPr="00596D3C">
        <w:t>limited</w:t>
      </w:r>
      <w:r w:rsidR="00F135DD" w:rsidRPr="00596D3C">
        <w:t xml:space="preserve"> </w:t>
      </w:r>
      <w:r w:rsidR="00FB292F">
        <w:t xml:space="preserve">to </w:t>
      </w:r>
      <w:r w:rsidR="00377C21" w:rsidRPr="000D38EF">
        <w:t>creat</w:t>
      </w:r>
      <w:r w:rsidR="00377C21">
        <w:t>ing</w:t>
      </w:r>
      <w:r w:rsidR="00377C21" w:rsidRPr="000D38EF">
        <w:t xml:space="preserve"> stable patterns of interactions based on mutual expectations and contribute to overall stability. </w:t>
      </w:r>
      <w:r w:rsidR="00377C21">
        <w:t xml:space="preserve">In this way </w:t>
      </w:r>
      <w:r w:rsidR="00377C21" w:rsidRPr="000D38EF">
        <w:t xml:space="preserve">social norms and social roles that are organized </w:t>
      </w:r>
      <w:r w:rsidR="00E1506A">
        <w:t>in a manner</w:t>
      </w:r>
      <w:r w:rsidR="00377C21">
        <w:t xml:space="preserve"> that </w:t>
      </w:r>
      <w:r w:rsidR="00377C21" w:rsidRPr="000D38EF">
        <w:t xml:space="preserve">provide patterns of </w:t>
      </w:r>
      <w:r w:rsidR="00E1506A" w:rsidRPr="000D38EF">
        <w:t>behaviours</w:t>
      </w:r>
      <w:r w:rsidR="00377C21" w:rsidRPr="000D38EF">
        <w:t xml:space="preserve"> </w:t>
      </w:r>
      <w:r w:rsidR="00E1506A">
        <w:t xml:space="preserve">which </w:t>
      </w:r>
      <w:r w:rsidR="00377C21" w:rsidRPr="000D38EF">
        <w:t xml:space="preserve">contribute to meeting the basic social needs of society </w:t>
      </w:r>
      <w:r w:rsidR="00E1506A">
        <w:t xml:space="preserve">namely; </w:t>
      </w:r>
      <w:r w:rsidR="00377C21" w:rsidRPr="000D38EF">
        <w:t xml:space="preserve">reproduction, </w:t>
      </w:r>
      <w:r w:rsidR="00E1506A">
        <w:t>s</w:t>
      </w:r>
      <w:r w:rsidR="00377C21" w:rsidRPr="000D38EF">
        <w:t xml:space="preserve">ocialization, </w:t>
      </w:r>
      <w:r w:rsidR="00E1506A">
        <w:t>s</w:t>
      </w:r>
      <w:r w:rsidR="00377C21" w:rsidRPr="000D38EF">
        <w:t xml:space="preserve">ense of </w:t>
      </w:r>
      <w:r w:rsidR="00E1506A">
        <w:t>p</w:t>
      </w:r>
      <w:r w:rsidR="00377C21" w:rsidRPr="000D38EF">
        <w:t xml:space="preserve">urpose, </w:t>
      </w:r>
      <w:r w:rsidR="00E1506A">
        <w:t>and preservation of s</w:t>
      </w:r>
      <w:r w:rsidR="00377C21" w:rsidRPr="000D38EF">
        <w:t xml:space="preserve">ocial </w:t>
      </w:r>
      <w:r w:rsidR="00E1506A">
        <w:t>o</w:t>
      </w:r>
      <w:r w:rsidR="00377C21" w:rsidRPr="000D38EF">
        <w:t>rder</w:t>
      </w:r>
      <w:r w:rsidR="007F71A1" w:rsidRPr="00217346">
        <w:t>.</w:t>
      </w:r>
      <w:r w:rsidR="00F135DD">
        <w:rPr>
          <w:rStyle w:val="FootnoteReference"/>
        </w:rPr>
        <w:footnoteReference w:id="10"/>
      </w:r>
      <w:r w:rsidR="00F135DD">
        <w:t xml:space="preserve"> This is what informs moral responsibility. </w:t>
      </w:r>
      <w:r w:rsidR="00E04F64">
        <w:t xml:space="preserve">However, </w:t>
      </w:r>
      <w:r w:rsidR="00531977">
        <w:t>o</w:t>
      </w:r>
      <w:r w:rsidR="00F135DD">
        <w:t xml:space="preserve">ne </w:t>
      </w:r>
      <w:r w:rsidR="00E04F64">
        <w:t xml:space="preserve">remains </w:t>
      </w:r>
      <w:r w:rsidR="00F135DD">
        <w:t xml:space="preserve">free to define what they want to be outside the dictates of society. </w:t>
      </w:r>
    </w:p>
    <w:p w14:paraId="5738C2FA" w14:textId="44CA224C" w:rsidR="003977E4" w:rsidRPr="005C3E35" w:rsidRDefault="00531977" w:rsidP="00596D3C">
      <w:pPr>
        <w:rPr>
          <w:rFonts w:eastAsia="Times New Roman"/>
          <w:szCs w:val="24"/>
        </w:rPr>
      </w:pPr>
      <w:r>
        <w:rPr>
          <w:rFonts w:eastAsia="Times New Roman"/>
          <w:szCs w:val="24"/>
        </w:rPr>
        <w:lastRenderedPageBreak/>
        <w:t>Following</w:t>
      </w:r>
      <w:r w:rsidR="00E04F64">
        <w:rPr>
          <w:rFonts w:eastAsia="Times New Roman"/>
          <w:szCs w:val="24"/>
        </w:rPr>
        <w:t>, I</w:t>
      </w:r>
      <w:r w:rsidR="00BC1270">
        <w:rPr>
          <w:rFonts w:eastAsia="Times New Roman"/>
          <w:szCs w:val="24"/>
        </w:rPr>
        <w:t xml:space="preserve"> seek to </w:t>
      </w:r>
      <w:r w:rsidR="003977E4" w:rsidRPr="00BC1270">
        <w:rPr>
          <w:rFonts w:eastAsia="Times New Roman"/>
          <w:szCs w:val="24"/>
        </w:rPr>
        <w:t xml:space="preserve">demonstrate that </w:t>
      </w:r>
      <w:r w:rsidR="002D0985" w:rsidRPr="00BC1270">
        <w:rPr>
          <w:rFonts w:eastAsia="Times New Roman"/>
          <w:szCs w:val="24"/>
        </w:rPr>
        <w:t xml:space="preserve">gender </w:t>
      </w:r>
      <w:r w:rsidR="00E04F64">
        <w:rPr>
          <w:rFonts w:eastAsia="Times New Roman"/>
          <w:szCs w:val="24"/>
        </w:rPr>
        <w:t>the definition of gender above</w:t>
      </w:r>
      <w:r w:rsidR="00E04F64">
        <w:rPr>
          <w:rStyle w:val="FootnoteReference"/>
          <w:rFonts w:eastAsia="Times New Roman"/>
          <w:szCs w:val="24"/>
        </w:rPr>
        <w:footnoteReference w:id="11"/>
      </w:r>
      <w:r w:rsidR="00E04F64">
        <w:rPr>
          <w:rFonts w:eastAsia="Times New Roman"/>
          <w:szCs w:val="24"/>
        </w:rPr>
        <w:t xml:space="preserve"> a</w:t>
      </w:r>
      <w:r w:rsidR="002D0985" w:rsidRPr="00BC1270">
        <w:rPr>
          <w:rFonts w:eastAsia="Times New Roman"/>
          <w:szCs w:val="24"/>
        </w:rPr>
        <w:t xml:space="preserve">nd the attendant </w:t>
      </w:r>
      <w:r>
        <w:rPr>
          <w:rFonts w:eastAsia="Times New Roman"/>
          <w:szCs w:val="24"/>
        </w:rPr>
        <w:t xml:space="preserve">social construction which </w:t>
      </w:r>
      <w:r w:rsidR="002D0985" w:rsidRPr="00BC1270">
        <w:rPr>
          <w:rFonts w:eastAsia="Times New Roman"/>
          <w:szCs w:val="24"/>
        </w:rPr>
        <w:t>assig</w:t>
      </w:r>
      <w:r>
        <w:rPr>
          <w:rFonts w:eastAsia="Times New Roman"/>
          <w:szCs w:val="24"/>
        </w:rPr>
        <w:t xml:space="preserve">ns differentiated </w:t>
      </w:r>
      <w:r w:rsidR="00E04F64" w:rsidRPr="00BC1270">
        <w:rPr>
          <w:rFonts w:eastAsia="Times New Roman"/>
          <w:szCs w:val="24"/>
        </w:rPr>
        <w:t>role</w:t>
      </w:r>
      <w:r w:rsidR="00E04F64">
        <w:rPr>
          <w:rFonts w:eastAsia="Times New Roman"/>
          <w:szCs w:val="24"/>
        </w:rPr>
        <w:t>s should</w:t>
      </w:r>
      <w:r w:rsidR="003977E4" w:rsidRPr="00BC1270">
        <w:rPr>
          <w:rFonts w:eastAsia="Times New Roman"/>
          <w:szCs w:val="24"/>
        </w:rPr>
        <w:t xml:space="preserve"> not be </w:t>
      </w:r>
      <w:r w:rsidR="00E04F64">
        <w:rPr>
          <w:rFonts w:eastAsia="Times New Roman"/>
          <w:szCs w:val="24"/>
        </w:rPr>
        <w:t xml:space="preserve">a basis for </w:t>
      </w:r>
      <w:r w:rsidR="00E04F64" w:rsidRPr="00BC1270">
        <w:rPr>
          <w:rFonts w:eastAsia="Times New Roman"/>
          <w:szCs w:val="24"/>
        </w:rPr>
        <w:t>discrimination.</w:t>
      </w:r>
      <w:r w:rsidR="00E04F64">
        <w:rPr>
          <w:rFonts w:eastAsia="Times New Roman"/>
          <w:szCs w:val="24"/>
        </w:rPr>
        <w:t xml:space="preserve"> Indeed</w:t>
      </w:r>
      <w:r w:rsidR="00DA40FD">
        <w:rPr>
          <w:rFonts w:eastAsia="Times New Roman"/>
          <w:szCs w:val="24"/>
        </w:rPr>
        <w:t xml:space="preserve"> t</w:t>
      </w:r>
      <w:r w:rsidR="003977E4" w:rsidRPr="00BC1270">
        <w:rPr>
          <w:rFonts w:eastAsia="Times New Roman"/>
          <w:szCs w:val="24"/>
        </w:rPr>
        <w:t xml:space="preserve">here is a natural normality responsible </w:t>
      </w:r>
      <w:r w:rsidR="003977E4" w:rsidRPr="005C3E35">
        <w:rPr>
          <w:rFonts w:eastAsia="Times New Roman"/>
          <w:szCs w:val="24"/>
        </w:rPr>
        <w:t xml:space="preserve">for differences at biological level in the same way there is a cultural normality that is linked to certain-gender roles and sexual differences. These two </w:t>
      </w:r>
      <w:r w:rsidR="00DA40FD">
        <w:rPr>
          <w:rFonts w:eastAsia="Times New Roman"/>
          <w:szCs w:val="24"/>
        </w:rPr>
        <w:t xml:space="preserve">should </w:t>
      </w:r>
      <w:r w:rsidR="003977E4" w:rsidRPr="005C3E35">
        <w:rPr>
          <w:rFonts w:eastAsia="Times New Roman"/>
          <w:szCs w:val="24"/>
        </w:rPr>
        <w:t xml:space="preserve">not automatically reflect </w:t>
      </w:r>
      <w:r w:rsidR="00203603">
        <w:rPr>
          <w:rFonts w:eastAsia="Times New Roman"/>
          <w:szCs w:val="24"/>
        </w:rPr>
        <w:t>‘</w:t>
      </w:r>
      <w:r w:rsidR="003977E4" w:rsidRPr="005C3E35">
        <w:rPr>
          <w:rFonts w:eastAsia="Times New Roman"/>
          <w:szCs w:val="24"/>
        </w:rPr>
        <w:t>inequality</w:t>
      </w:r>
      <w:r w:rsidR="00203603">
        <w:rPr>
          <w:rFonts w:eastAsia="Times New Roman"/>
          <w:szCs w:val="24"/>
        </w:rPr>
        <w:t>’</w:t>
      </w:r>
      <w:r w:rsidR="003977E4" w:rsidRPr="005C3E35">
        <w:rPr>
          <w:rFonts w:eastAsia="Times New Roman"/>
          <w:szCs w:val="24"/>
        </w:rPr>
        <w:t xml:space="preserve"> or </w:t>
      </w:r>
      <w:r w:rsidR="00203603">
        <w:rPr>
          <w:rFonts w:eastAsia="Times New Roman"/>
          <w:szCs w:val="24"/>
        </w:rPr>
        <w:t>‘</w:t>
      </w:r>
      <w:r w:rsidR="003977E4" w:rsidRPr="005C3E35">
        <w:rPr>
          <w:rFonts w:eastAsia="Times New Roman"/>
          <w:szCs w:val="24"/>
        </w:rPr>
        <w:t>discrimination</w:t>
      </w:r>
      <w:r w:rsidR="00203603">
        <w:rPr>
          <w:rFonts w:eastAsia="Times New Roman"/>
          <w:szCs w:val="24"/>
        </w:rPr>
        <w:t>.’</w:t>
      </w:r>
      <w:r w:rsidR="003977E4" w:rsidRPr="005C3E35">
        <w:rPr>
          <w:rFonts w:eastAsia="Times New Roman"/>
          <w:szCs w:val="24"/>
        </w:rPr>
        <w:t xml:space="preserve"> </w:t>
      </w:r>
      <w:r w:rsidR="00DA40FD">
        <w:rPr>
          <w:rFonts w:eastAsia="Times New Roman"/>
          <w:szCs w:val="24"/>
        </w:rPr>
        <w:t>In practice</w:t>
      </w:r>
      <w:r w:rsidR="006F4CA3">
        <w:rPr>
          <w:rFonts w:eastAsia="Times New Roman"/>
          <w:szCs w:val="24"/>
        </w:rPr>
        <w:t>,</w:t>
      </w:r>
      <w:r w:rsidR="003977E4" w:rsidRPr="005C3E35">
        <w:rPr>
          <w:rFonts w:eastAsia="Times New Roman"/>
          <w:szCs w:val="24"/>
        </w:rPr>
        <w:t xml:space="preserve"> cultural normality involves </w:t>
      </w:r>
      <w:r w:rsidR="003A49B8">
        <w:rPr>
          <w:rFonts w:eastAsia="Times New Roman"/>
          <w:szCs w:val="24"/>
        </w:rPr>
        <w:t xml:space="preserve">a </w:t>
      </w:r>
      <w:r w:rsidR="003977E4" w:rsidRPr="005C3E35">
        <w:rPr>
          <w:rFonts w:eastAsia="Times New Roman"/>
          <w:szCs w:val="24"/>
        </w:rPr>
        <w:t>violation of human rights and of free will because cultural assumption</w:t>
      </w:r>
      <w:r w:rsidR="00DA40FD">
        <w:rPr>
          <w:rFonts w:eastAsia="Times New Roman"/>
          <w:szCs w:val="24"/>
        </w:rPr>
        <w:t>s</w:t>
      </w:r>
      <w:r w:rsidR="003977E4" w:rsidRPr="005C3E35">
        <w:rPr>
          <w:rFonts w:eastAsia="Times New Roman"/>
          <w:szCs w:val="24"/>
        </w:rPr>
        <w:t xml:space="preserve"> </w:t>
      </w:r>
      <w:r w:rsidR="00DA40FD">
        <w:rPr>
          <w:rFonts w:eastAsia="Times New Roman"/>
          <w:szCs w:val="24"/>
        </w:rPr>
        <w:t xml:space="preserve">on </w:t>
      </w:r>
      <w:r w:rsidR="003977E4" w:rsidRPr="005C3E35">
        <w:rPr>
          <w:rFonts w:eastAsia="Times New Roman"/>
          <w:szCs w:val="24"/>
        </w:rPr>
        <w:t xml:space="preserve">gender and sexual roles </w:t>
      </w:r>
      <w:r w:rsidR="00DA40FD">
        <w:rPr>
          <w:rFonts w:eastAsia="Times New Roman"/>
          <w:szCs w:val="24"/>
        </w:rPr>
        <w:t xml:space="preserve">are deemed superior </w:t>
      </w:r>
      <w:r w:rsidR="003977E4" w:rsidRPr="005C3E35">
        <w:rPr>
          <w:rFonts w:eastAsia="Times New Roman"/>
          <w:szCs w:val="24"/>
        </w:rPr>
        <w:t>and</w:t>
      </w:r>
      <w:r w:rsidR="00DA40FD">
        <w:rPr>
          <w:rFonts w:eastAsia="Times New Roman"/>
          <w:szCs w:val="24"/>
        </w:rPr>
        <w:t xml:space="preserve"> </w:t>
      </w:r>
      <w:r w:rsidR="00E04F64">
        <w:rPr>
          <w:rFonts w:eastAsia="Times New Roman"/>
          <w:szCs w:val="24"/>
        </w:rPr>
        <w:t xml:space="preserve">that </w:t>
      </w:r>
      <w:r w:rsidR="00DA40FD">
        <w:rPr>
          <w:rFonts w:eastAsia="Times New Roman"/>
          <w:szCs w:val="24"/>
        </w:rPr>
        <w:t>this superiority in values ought to take pre</w:t>
      </w:r>
      <w:r w:rsidR="00A55A6B">
        <w:rPr>
          <w:rFonts w:eastAsia="Times New Roman"/>
          <w:szCs w:val="24"/>
        </w:rPr>
        <w:t>ce</w:t>
      </w:r>
      <w:r w:rsidR="00DA40FD">
        <w:rPr>
          <w:rFonts w:eastAsia="Times New Roman"/>
          <w:szCs w:val="24"/>
        </w:rPr>
        <w:t xml:space="preserve">dence </w:t>
      </w:r>
      <w:r w:rsidR="00A55A6B">
        <w:rPr>
          <w:rFonts w:eastAsia="Times New Roman"/>
          <w:szCs w:val="24"/>
        </w:rPr>
        <w:t xml:space="preserve">over and above individual will. </w:t>
      </w:r>
      <w:r w:rsidR="003A49B8">
        <w:rPr>
          <w:rFonts w:eastAsia="Times New Roman"/>
          <w:szCs w:val="24"/>
        </w:rPr>
        <w:t>Thus, w</w:t>
      </w:r>
      <w:r w:rsidR="00A55A6B">
        <w:rPr>
          <w:rFonts w:eastAsia="Times New Roman"/>
          <w:szCs w:val="24"/>
        </w:rPr>
        <w:t xml:space="preserve">hen individuals act outside the purview of cultural dictates their feelings and actions are </w:t>
      </w:r>
      <w:r w:rsidR="003977E4" w:rsidRPr="005C3E35">
        <w:rPr>
          <w:rFonts w:eastAsia="Times New Roman"/>
          <w:szCs w:val="24"/>
        </w:rPr>
        <w:t>constrain</w:t>
      </w:r>
      <w:r w:rsidR="003A49B8">
        <w:rPr>
          <w:rFonts w:eastAsia="Times New Roman"/>
          <w:szCs w:val="24"/>
        </w:rPr>
        <w:t>ed</w:t>
      </w:r>
      <w:r w:rsidR="00A55A6B">
        <w:rPr>
          <w:rFonts w:eastAsia="Times New Roman"/>
          <w:szCs w:val="24"/>
        </w:rPr>
        <w:t>. Th</w:t>
      </w:r>
      <w:r w:rsidR="00E04F64">
        <w:rPr>
          <w:rFonts w:eastAsia="Times New Roman"/>
          <w:szCs w:val="24"/>
        </w:rPr>
        <w:t xml:space="preserve">ese cultural </w:t>
      </w:r>
      <w:r w:rsidR="003977E4" w:rsidRPr="005C3E35">
        <w:rPr>
          <w:rFonts w:eastAsia="Times New Roman"/>
          <w:szCs w:val="24"/>
        </w:rPr>
        <w:t>limitation can be placed in the category of discrimination as this is perceived as ‘not natural.’</w:t>
      </w:r>
      <w:r w:rsidR="00A55A6B">
        <w:rPr>
          <w:rFonts w:eastAsia="Times New Roman"/>
          <w:szCs w:val="24"/>
        </w:rPr>
        <w:t xml:space="preserve"> But this </w:t>
      </w:r>
      <w:r w:rsidR="003977E4" w:rsidRPr="005C3E35">
        <w:rPr>
          <w:rFonts w:eastAsia="Times New Roman"/>
          <w:szCs w:val="24"/>
        </w:rPr>
        <w:t xml:space="preserve">is an imposition of culture which </w:t>
      </w:r>
      <w:r w:rsidR="00C17D84" w:rsidRPr="005C3E35">
        <w:rPr>
          <w:rFonts w:eastAsia="Times New Roman"/>
          <w:szCs w:val="24"/>
        </w:rPr>
        <w:t>demand</w:t>
      </w:r>
      <w:r w:rsidR="00C17D84">
        <w:rPr>
          <w:rFonts w:eastAsia="Times New Roman"/>
          <w:szCs w:val="24"/>
        </w:rPr>
        <w:t>s</w:t>
      </w:r>
      <w:r w:rsidR="00C17D84" w:rsidRPr="005C3E35">
        <w:rPr>
          <w:rFonts w:eastAsia="Times New Roman"/>
          <w:szCs w:val="24"/>
        </w:rPr>
        <w:t xml:space="preserve"> stability</w:t>
      </w:r>
      <w:r w:rsidR="003977E4" w:rsidRPr="005C3E35">
        <w:rPr>
          <w:rFonts w:eastAsia="Times New Roman"/>
          <w:szCs w:val="24"/>
        </w:rPr>
        <w:t xml:space="preserve"> and rigidity of gender and differences in sexual roles, regardless of the will of the individual and the situation. This however</w:t>
      </w:r>
      <w:r w:rsidR="006F4CA3">
        <w:rPr>
          <w:rFonts w:eastAsia="Times New Roman"/>
          <w:szCs w:val="24"/>
        </w:rPr>
        <w:t xml:space="preserve">, </w:t>
      </w:r>
      <w:r w:rsidR="00675E07">
        <w:rPr>
          <w:rFonts w:eastAsia="Times New Roman"/>
          <w:szCs w:val="24"/>
        </w:rPr>
        <w:t>can</w:t>
      </w:r>
      <w:r w:rsidR="003977E4" w:rsidRPr="005C3E35">
        <w:rPr>
          <w:rFonts w:eastAsia="Times New Roman"/>
          <w:szCs w:val="24"/>
        </w:rPr>
        <w:t xml:space="preserve"> be </w:t>
      </w:r>
      <w:r w:rsidR="00BD7D88">
        <w:rPr>
          <w:rFonts w:eastAsia="Times New Roman"/>
          <w:szCs w:val="24"/>
        </w:rPr>
        <w:t xml:space="preserve">perceived </w:t>
      </w:r>
      <w:r w:rsidR="003977E4" w:rsidRPr="005C3E35">
        <w:rPr>
          <w:rFonts w:eastAsia="Times New Roman"/>
          <w:szCs w:val="24"/>
        </w:rPr>
        <w:t>differently by people of different cultures.</w:t>
      </w:r>
      <w:r w:rsidR="00712254">
        <w:rPr>
          <w:rStyle w:val="FootnoteReference"/>
          <w:rFonts w:eastAsia="Times New Roman"/>
          <w:szCs w:val="24"/>
        </w:rPr>
        <w:footnoteReference w:id="12"/>
      </w:r>
      <w:r w:rsidR="003977E4" w:rsidRPr="005C3E35">
        <w:rPr>
          <w:rFonts w:eastAsia="Times New Roman"/>
          <w:szCs w:val="24"/>
        </w:rPr>
        <w:t xml:space="preserve"> More liberal cultures are tolerating </w:t>
      </w:r>
      <w:r w:rsidR="00675E07">
        <w:rPr>
          <w:rFonts w:eastAsia="Times New Roman"/>
          <w:szCs w:val="24"/>
        </w:rPr>
        <w:t xml:space="preserve">of </w:t>
      </w:r>
      <w:r w:rsidR="00C17D84">
        <w:rPr>
          <w:rFonts w:eastAsia="Times New Roman"/>
          <w:szCs w:val="24"/>
        </w:rPr>
        <w:t>‘deviance’</w:t>
      </w:r>
      <w:r w:rsidR="00C17D84" w:rsidRPr="005C3E35">
        <w:rPr>
          <w:rFonts w:eastAsia="Times New Roman"/>
          <w:szCs w:val="24"/>
        </w:rPr>
        <w:t xml:space="preserve"> than</w:t>
      </w:r>
      <w:r w:rsidR="003977E4" w:rsidRPr="005C3E35">
        <w:rPr>
          <w:rFonts w:eastAsia="Times New Roman"/>
          <w:szCs w:val="24"/>
        </w:rPr>
        <w:t xml:space="preserve"> cultures that rigidly adhere to traditions and customs of the past.</w:t>
      </w:r>
      <w:r w:rsidR="004F7F5C">
        <w:rPr>
          <w:rStyle w:val="FootnoteReference"/>
          <w:rFonts w:eastAsia="Times New Roman"/>
          <w:szCs w:val="24"/>
        </w:rPr>
        <w:footnoteReference w:id="13"/>
      </w:r>
      <w:r w:rsidR="00203603">
        <w:rPr>
          <w:rFonts w:eastAsia="Times New Roman"/>
          <w:szCs w:val="24"/>
        </w:rPr>
        <w:t xml:space="preserve"> </w:t>
      </w:r>
      <w:r w:rsidR="00675E07">
        <w:rPr>
          <w:rFonts w:eastAsia="Times New Roman"/>
          <w:szCs w:val="24"/>
        </w:rPr>
        <w:t>Additionally, d</w:t>
      </w:r>
      <w:r w:rsidR="00203603">
        <w:rPr>
          <w:rFonts w:eastAsia="Times New Roman"/>
          <w:szCs w:val="24"/>
        </w:rPr>
        <w:t>ifferent cultures allow for different stages through which individual</w:t>
      </w:r>
      <w:r w:rsidR="00675E07">
        <w:rPr>
          <w:rFonts w:eastAsia="Times New Roman"/>
          <w:szCs w:val="24"/>
        </w:rPr>
        <w:t>s</w:t>
      </w:r>
      <w:r w:rsidR="00203603">
        <w:rPr>
          <w:rFonts w:eastAsia="Times New Roman"/>
          <w:szCs w:val="24"/>
        </w:rPr>
        <w:t xml:space="preserve"> absorb and learn to accord with culturally sanctioned practices. </w:t>
      </w:r>
    </w:p>
    <w:p w14:paraId="379CC2AE" w14:textId="77777777" w:rsidR="003977E4" w:rsidRPr="006439F6" w:rsidRDefault="003977E4" w:rsidP="00D525AB">
      <w:pPr>
        <w:shd w:val="clear" w:color="auto" w:fill="FFFFFF"/>
        <w:outlineLvl w:val="1"/>
        <w:rPr>
          <w:rFonts w:eastAsia="Times New Roman"/>
          <w:szCs w:val="24"/>
        </w:rPr>
      </w:pPr>
      <w:r w:rsidRPr="005C3E35">
        <w:rPr>
          <w:rFonts w:eastAsia="Times New Roman"/>
          <w:szCs w:val="24"/>
        </w:rPr>
        <w:t xml:space="preserve">According to </w:t>
      </w:r>
      <w:r w:rsidR="00AB58BC">
        <w:rPr>
          <w:rFonts w:eastAsia="Times New Roman"/>
          <w:szCs w:val="24"/>
        </w:rPr>
        <w:t xml:space="preserve">the </w:t>
      </w:r>
      <w:r w:rsidRPr="005C3E35">
        <w:rPr>
          <w:rFonts w:eastAsia="Times New Roman"/>
          <w:i/>
          <w:szCs w:val="24"/>
        </w:rPr>
        <w:t>American Academy of P</w:t>
      </w:r>
      <w:r w:rsidR="00AB58BC">
        <w:rPr>
          <w:rFonts w:eastAsia="Times New Roman"/>
          <w:i/>
          <w:szCs w:val="24"/>
        </w:rPr>
        <w:t>a</w:t>
      </w:r>
      <w:r w:rsidRPr="005C3E35">
        <w:rPr>
          <w:rFonts w:eastAsia="Times New Roman"/>
          <w:i/>
          <w:szCs w:val="24"/>
        </w:rPr>
        <w:t>ediatrics</w:t>
      </w:r>
      <w:r w:rsidRPr="005C3E35">
        <w:rPr>
          <w:rFonts w:eastAsia="Times New Roman"/>
          <w:szCs w:val="24"/>
        </w:rPr>
        <w:t>, g</w:t>
      </w:r>
      <w:r w:rsidRPr="006439F6">
        <w:rPr>
          <w:rFonts w:eastAsia="Times New Roman"/>
          <w:szCs w:val="24"/>
        </w:rPr>
        <w:t xml:space="preserve">ender identity typically develops in </w:t>
      </w:r>
      <w:r w:rsidRPr="005C3E35">
        <w:rPr>
          <w:rFonts w:eastAsia="Times New Roman"/>
          <w:szCs w:val="24"/>
        </w:rPr>
        <w:t xml:space="preserve">three </w:t>
      </w:r>
      <w:r w:rsidRPr="006439F6">
        <w:rPr>
          <w:rFonts w:eastAsia="Times New Roman"/>
          <w:szCs w:val="24"/>
        </w:rPr>
        <w:t>stages</w:t>
      </w:r>
      <w:r w:rsidR="00F30255">
        <w:rPr>
          <w:rFonts w:eastAsia="Times New Roman"/>
          <w:szCs w:val="24"/>
        </w:rPr>
        <w:t>:</w:t>
      </w:r>
      <w:r>
        <w:rPr>
          <w:rStyle w:val="FootnoteReference"/>
          <w:rFonts w:eastAsia="Times New Roman"/>
          <w:szCs w:val="24"/>
        </w:rPr>
        <w:footnoteReference w:id="14"/>
      </w:r>
    </w:p>
    <w:p w14:paraId="13E564E1" w14:textId="77777777" w:rsidR="003977E4" w:rsidRPr="005C3E35" w:rsidRDefault="003977E4" w:rsidP="00474B3E">
      <w:pPr>
        <w:pStyle w:val="ListParagraph"/>
        <w:numPr>
          <w:ilvl w:val="0"/>
          <w:numId w:val="25"/>
        </w:numPr>
      </w:pPr>
      <w:r w:rsidRPr="008E6D6F">
        <w:rPr>
          <w:bCs/>
        </w:rPr>
        <w:t>Around age two:</w:t>
      </w:r>
      <w:r w:rsidR="00BD7D88" w:rsidRPr="008E6D6F">
        <w:rPr>
          <w:bCs/>
        </w:rPr>
        <w:t xml:space="preserve"> </w:t>
      </w:r>
      <w:r w:rsidRPr="005C3E35">
        <w:t>Children become conscious of the physical differences between boys and girls.</w:t>
      </w:r>
    </w:p>
    <w:p w14:paraId="625BD325" w14:textId="77777777" w:rsidR="003977E4" w:rsidRPr="005C3E35" w:rsidRDefault="003977E4" w:rsidP="00570C12">
      <w:pPr>
        <w:pStyle w:val="ListParagraph"/>
        <w:numPr>
          <w:ilvl w:val="0"/>
          <w:numId w:val="25"/>
        </w:numPr>
      </w:pPr>
      <w:r w:rsidRPr="008E6D6F">
        <w:rPr>
          <w:bCs/>
        </w:rPr>
        <w:t>Before their third birthday:</w:t>
      </w:r>
      <w:r w:rsidR="00BD7D88" w:rsidRPr="008E6D6F">
        <w:rPr>
          <w:bCs/>
        </w:rPr>
        <w:t xml:space="preserve"> </w:t>
      </w:r>
      <w:r w:rsidRPr="005C3E35">
        <w:t>Most children can easily label themselves as either boy or girl.</w:t>
      </w:r>
    </w:p>
    <w:p w14:paraId="77C01040" w14:textId="77777777" w:rsidR="003977E4" w:rsidRPr="005C3E35" w:rsidRDefault="003977E4" w:rsidP="00570C12">
      <w:pPr>
        <w:pStyle w:val="ListParagraph"/>
        <w:numPr>
          <w:ilvl w:val="0"/>
          <w:numId w:val="25"/>
        </w:numPr>
      </w:pPr>
      <w:r w:rsidRPr="008E6D6F">
        <w:rPr>
          <w:bCs/>
        </w:rPr>
        <w:lastRenderedPageBreak/>
        <w:t>By age four:</w:t>
      </w:r>
      <w:r w:rsidR="00BD7D88" w:rsidRPr="008E6D6F">
        <w:rPr>
          <w:bCs/>
        </w:rPr>
        <w:t xml:space="preserve"> </w:t>
      </w:r>
      <w:r w:rsidRPr="005C3E35">
        <w:t>Most children have a stable sense of their gender identity.</w:t>
      </w:r>
    </w:p>
    <w:p w14:paraId="1E3C50FA" w14:textId="28614199" w:rsidR="003977E4" w:rsidRPr="005C3E35" w:rsidRDefault="003977E4" w:rsidP="00570C12">
      <w:pPr>
        <w:spacing w:after="240"/>
        <w:rPr>
          <w:color w:val="222222"/>
        </w:rPr>
      </w:pPr>
      <w:r w:rsidRPr="005C3E35">
        <w:t xml:space="preserve">At the third stage, </w:t>
      </w:r>
      <w:r w:rsidRPr="006439F6">
        <w:t>children learn gender role behaviour</w:t>
      </w:r>
      <w:r w:rsidRPr="005C3E35">
        <w:t xml:space="preserve"> among th</w:t>
      </w:r>
      <w:r w:rsidR="00653CE5">
        <w:t>o</w:t>
      </w:r>
      <w:r w:rsidRPr="005C3E35">
        <w:t xml:space="preserve">se </w:t>
      </w:r>
      <w:r w:rsidRPr="00EF7FD4">
        <w:rPr>
          <w:i/>
          <w:iCs/>
        </w:rPr>
        <w:t>things that boys do</w:t>
      </w:r>
      <w:r w:rsidR="00BD7D88">
        <w:t xml:space="preserve"> </w:t>
      </w:r>
      <w:r w:rsidRPr="00EF7FD4">
        <w:t>or</w:t>
      </w:r>
      <w:r w:rsidR="00BD7D88">
        <w:t xml:space="preserve"> </w:t>
      </w:r>
      <w:r w:rsidRPr="00EF7FD4">
        <w:rPr>
          <w:i/>
          <w:iCs/>
        </w:rPr>
        <w:t>things that girls do</w:t>
      </w:r>
      <w:r w:rsidRPr="00EF7FD4">
        <w:rPr>
          <w:iCs/>
        </w:rPr>
        <w:t>.</w:t>
      </w:r>
      <w:r w:rsidR="00BD7D88">
        <w:t xml:space="preserve"> </w:t>
      </w:r>
      <w:r w:rsidR="00EF7FD4">
        <w:t xml:space="preserve">This stage sets up </w:t>
      </w:r>
      <w:r w:rsidRPr="005C3E35">
        <w:t>children to develop a clearer</w:t>
      </w:r>
      <w:r w:rsidR="00EF7FD4">
        <w:t xml:space="preserve"> view of their gender over time through the guidance of </w:t>
      </w:r>
      <w:r w:rsidRPr="005C3E35">
        <w:t>culture</w:t>
      </w:r>
      <w:r w:rsidR="00EF7FD4">
        <w:t xml:space="preserve"> which </w:t>
      </w:r>
      <w:r w:rsidRPr="005C3E35">
        <w:t xml:space="preserve">also reinforces this identity inviting social support, </w:t>
      </w:r>
      <w:r w:rsidRPr="006439F6">
        <w:t>love, and social acceptance.</w:t>
      </w:r>
      <w:r w:rsidRPr="005C3E35">
        <w:t xml:space="preserve"> </w:t>
      </w:r>
      <w:r w:rsidR="00EF7FD4">
        <w:t xml:space="preserve">The sexual </w:t>
      </w:r>
      <w:r w:rsidR="00EF7FD4" w:rsidRPr="005A4CCD">
        <w:rPr>
          <w:i/>
        </w:rPr>
        <w:t>dos</w:t>
      </w:r>
      <w:r w:rsidR="00EF7FD4">
        <w:t xml:space="preserve"> and </w:t>
      </w:r>
      <w:r w:rsidR="00EF7FD4" w:rsidRPr="005A4CCD">
        <w:rPr>
          <w:i/>
        </w:rPr>
        <w:t>don’ts</w:t>
      </w:r>
      <w:r w:rsidR="005A4CCD">
        <w:t xml:space="preserve"> </w:t>
      </w:r>
      <w:r w:rsidR="00EF7FD4">
        <w:t>start to emerge</w:t>
      </w:r>
      <w:r w:rsidR="006F4CA3">
        <w:t>,</w:t>
      </w:r>
      <w:r w:rsidR="00EF7FD4">
        <w:t xml:space="preserve"> albeit</w:t>
      </w:r>
      <w:r w:rsidR="006F4CA3">
        <w:t>,</w:t>
      </w:r>
      <w:r w:rsidR="00EF7FD4">
        <w:t xml:space="preserve"> subtly. </w:t>
      </w:r>
      <w:r w:rsidR="00C17D84">
        <w:t>This also</w:t>
      </w:r>
      <w:r w:rsidR="005A4CCD">
        <w:t xml:space="preserve"> means that the children from age three have begun aligning socially constructed gender to their sexuality. It is thus </w:t>
      </w:r>
      <w:r w:rsidR="00C17D84">
        <w:t>safe to</w:t>
      </w:r>
      <w:r w:rsidR="005A4CCD">
        <w:t xml:space="preserve"> state that </w:t>
      </w:r>
      <w:r w:rsidRPr="005C3E35">
        <w:rPr>
          <w:color w:val="222222"/>
        </w:rPr>
        <w:t>core gender identity is usually formed by age three. After age three, it is extremely difficult to change,</w:t>
      </w:r>
      <w:r w:rsidR="00BD7D88">
        <w:rPr>
          <w:color w:val="222222"/>
        </w:rPr>
        <w:t xml:space="preserve"> </w:t>
      </w:r>
      <w:r w:rsidRPr="005C3E35">
        <w:rPr>
          <w:color w:val="222222"/>
        </w:rPr>
        <w:t>and attempts to reassign it can result in </w:t>
      </w:r>
      <w:r>
        <w:rPr>
          <w:color w:val="222222"/>
        </w:rPr>
        <w:t>gender dysphoria</w:t>
      </w:r>
      <w:r w:rsidRPr="005C3E35">
        <w:t>.</w:t>
      </w:r>
      <w:r w:rsidR="005A4CCD">
        <w:rPr>
          <w:rStyle w:val="FootnoteReference"/>
        </w:rPr>
        <w:footnoteReference w:id="15"/>
      </w:r>
      <w:hyperlink r:id="rId10" w:anchor="cite_note-Boles101102-9" w:history="1"/>
      <w:r w:rsidRPr="005C3E35">
        <w:t> </w:t>
      </w:r>
      <w:r w:rsidRPr="005C3E35">
        <w:rPr>
          <w:color w:val="222222"/>
        </w:rPr>
        <w:t xml:space="preserve">Both biological and social factors have been suggested </w:t>
      </w:r>
      <w:r w:rsidR="00AB58BC">
        <w:rPr>
          <w:color w:val="222222"/>
        </w:rPr>
        <w:t xml:space="preserve">as </w:t>
      </w:r>
      <w:r w:rsidRPr="005C3E35">
        <w:rPr>
          <w:color w:val="222222"/>
        </w:rPr>
        <w:t>influenc</w:t>
      </w:r>
      <w:r w:rsidR="00AB58BC">
        <w:rPr>
          <w:color w:val="222222"/>
        </w:rPr>
        <w:t>ing</w:t>
      </w:r>
      <w:r w:rsidRPr="005C3E35">
        <w:rPr>
          <w:color w:val="222222"/>
        </w:rPr>
        <w:t xml:space="preserve"> </w:t>
      </w:r>
      <w:r w:rsidR="005A4CCD">
        <w:rPr>
          <w:color w:val="222222"/>
        </w:rPr>
        <w:t>the process of gender identity</w:t>
      </w:r>
      <w:r w:rsidRPr="005C3E35">
        <w:rPr>
          <w:color w:val="222222"/>
        </w:rPr>
        <w:t>.</w:t>
      </w:r>
    </w:p>
    <w:p w14:paraId="0AFB45B0" w14:textId="77777777" w:rsidR="003977E4" w:rsidRPr="006439F6" w:rsidRDefault="003977E4" w:rsidP="00596D3C">
      <w:pPr>
        <w:rPr>
          <w:rFonts w:eastAsia="Times New Roman"/>
          <w:szCs w:val="24"/>
        </w:rPr>
      </w:pPr>
      <w:r w:rsidRPr="005C3E35">
        <w:rPr>
          <w:rFonts w:eastAsia="Times New Roman"/>
          <w:szCs w:val="24"/>
        </w:rPr>
        <w:t>Research shows that b</w:t>
      </w:r>
      <w:r w:rsidRPr="006439F6">
        <w:rPr>
          <w:rFonts w:eastAsia="Times New Roman"/>
          <w:szCs w:val="24"/>
        </w:rPr>
        <w:t>y age six, most children spend their playtime with members of their own sex and gravitate towards sports and other activities associated with their gender.</w:t>
      </w:r>
      <w:r w:rsidR="00BD7D88">
        <w:rPr>
          <w:rFonts w:eastAsia="Times New Roman"/>
          <w:szCs w:val="24"/>
        </w:rPr>
        <w:t xml:space="preserve"> </w:t>
      </w:r>
      <w:r w:rsidRPr="005C3E35">
        <w:rPr>
          <w:rFonts w:eastAsia="Times New Roman"/>
          <w:szCs w:val="24"/>
        </w:rPr>
        <w:t xml:space="preserve">At this point children begin to </w:t>
      </w:r>
      <w:r w:rsidRPr="006439F6">
        <w:rPr>
          <w:rFonts w:eastAsia="Times New Roman"/>
          <w:szCs w:val="24"/>
        </w:rPr>
        <w:t>express their gender identity</w:t>
      </w:r>
      <w:r w:rsidRPr="005C3E35">
        <w:rPr>
          <w:rFonts w:eastAsia="Times New Roman"/>
          <w:szCs w:val="24"/>
        </w:rPr>
        <w:t xml:space="preserve"> through:</w:t>
      </w:r>
      <w:r w:rsidR="00F2192D">
        <w:rPr>
          <w:rStyle w:val="FootnoteReference"/>
          <w:rFonts w:eastAsia="Times New Roman"/>
          <w:szCs w:val="24"/>
        </w:rPr>
        <w:footnoteReference w:id="16"/>
      </w:r>
    </w:p>
    <w:p w14:paraId="64AD339F" w14:textId="77777777" w:rsidR="003977E4" w:rsidRPr="008E6D6F" w:rsidRDefault="003977E4" w:rsidP="00474B3E">
      <w:pPr>
        <w:pStyle w:val="ListParagraph"/>
        <w:numPr>
          <w:ilvl w:val="0"/>
          <w:numId w:val="26"/>
        </w:numPr>
      </w:pPr>
      <w:r w:rsidRPr="008E6D6F">
        <w:t xml:space="preserve">Clothing </w:t>
      </w:r>
      <w:r w:rsidR="00C7130C" w:rsidRPr="008E6D6F">
        <w:t xml:space="preserve">and </w:t>
      </w:r>
      <w:r w:rsidRPr="008E6D6F">
        <w:t>hairstyle</w:t>
      </w:r>
      <w:r w:rsidR="003C7A5A" w:rsidRPr="008E6D6F">
        <w:t>;</w:t>
      </w:r>
    </w:p>
    <w:p w14:paraId="63A24DED" w14:textId="77777777" w:rsidR="003977E4" w:rsidRPr="008E6D6F" w:rsidRDefault="003977E4" w:rsidP="00570C12">
      <w:pPr>
        <w:pStyle w:val="ListParagraph"/>
        <w:numPr>
          <w:ilvl w:val="0"/>
          <w:numId w:val="26"/>
        </w:numPr>
      </w:pPr>
      <w:r w:rsidRPr="008E6D6F">
        <w:t>Preferred name or nickname</w:t>
      </w:r>
      <w:r w:rsidR="003C7A5A" w:rsidRPr="008E6D6F">
        <w:t>;</w:t>
      </w:r>
    </w:p>
    <w:p w14:paraId="64945DE7" w14:textId="77777777" w:rsidR="003977E4" w:rsidRPr="008E6D6F" w:rsidRDefault="003977E4" w:rsidP="00570C12">
      <w:pPr>
        <w:pStyle w:val="ListParagraph"/>
        <w:numPr>
          <w:ilvl w:val="0"/>
          <w:numId w:val="26"/>
        </w:numPr>
      </w:pPr>
      <w:r w:rsidRPr="008E6D6F">
        <w:t>Social behaviour that reflects varying degrees of aggression, dominance, dependency, and gent</w:t>
      </w:r>
      <w:r w:rsidR="00C7130C" w:rsidRPr="008E6D6F">
        <w:t>ility</w:t>
      </w:r>
      <w:r w:rsidR="003C7A5A" w:rsidRPr="008E6D6F">
        <w:t>;</w:t>
      </w:r>
    </w:p>
    <w:p w14:paraId="2AE35AD5" w14:textId="77777777" w:rsidR="003977E4" w:rsidRPr="008E6D6F" w:rsidRDefault="003977E4" w:rsidP="00570C12">
      <w:pPr>
        <w:pStyle w:val="ListParagraph"/>
        <w:numPr>
          <w:ilvl w:val="0"/>
          <w:numId w:val="26"/>
        </w:numPr>
      </w:pPr>
      <w:r w:rsidRPr="008E6D6F">
        <w:t>Manner and style of behaviour and physical gestures a</w:t>
      </w:r>
      <w:r w:rsidR="00C7130C" w:rsidRPr="008E6D6F">
        <w:t>s well as</w:t>
      </w:r>
      <w:r w:rsidRPr="008E6D6F">
        <w:t xml:space="preserve"> other non</w:t>
      </w:r>
      <w:r w:rsidR="00C7130C" w:rsidRPr="008E6D6F">
        <w:t>-</w:t>
      </w:r>
      <w:r w:rsidRPr="008E6D6F">
        <w:t>verbal actions identified as masculine or feminine</w:t>
      </w:r>
      <w:r w:rsidR="003C7A5A" w:rsidRPr="008E6D6F">
        <w:t>;</w:t>
      </w:r>
      <w:r w:rsidR="00AB3638" w:rsidRPr="008E6D6F">
        <w:t xml:space="preserve"> </w:t>
      </w:r>
      <w:r w:rsidR="003C7A5A" w:rsidRPr="008E6D6F">
        <w:t>and</w:t>
      </w:r>
    </w:p>
    <w:p w14:paraId="6F207724" w14:textId="0F7F4C0A" w:rsidR="003977E4" w:rsidRPr="008E6D6F" w:rsidRDefault="003977E4" w:rsidP="00570C12">
      <w:pPr>
        <w:pStyle w:val="ListParagraph"/>
        <w:numPr>
          <w:ilvl w:val="0"/>
          <w:numId w:val="26"/>
        </w:numPr>
      </w:pPr>
      <w:r w:rsidRPr="008E6D6F">
        <w:t xml:space="preserve">Social relationships including </w:t>
      </w:r>
      <w:r w:rsidR="00BF1BC4">
        <w:t xml:space="preserve">selection of </w:t>
      </w:r>
      <w:r w:rsidR="00C7130C" w:rsidRPr="008E6D6F">
        <w:t xml:space="preserve">significant role </w:t>
      </w:r>
      <w:r w:rsidRPr="008E6D6F">
        <w:t>models.</w:t>
      </w:r>
      <w:r>
        <w:rPr>
          <w:rStyle w:val="FootnoteReference"/>
          <w:rFonts w:eastAsia="Times New Roman"/>
          <w:szCs w:val="24"/>
        </w:rPr>
        <w:footnoteReference w:id="17"/>
      </w:r>
      <w:r w:rsidRPr="008E6D6F">
        <w:t xml:space="preserve"> </w:t>
      </w:r>
    </w:p>
    <w:p w14:paraId="4B879125" w14:textId="0A7EDBDB" w:rsidR="003977E4" w:rsidRPr="005C3E35" w:rsidRDefault="003977E4" w:rsidP="00596D3C">
      <w:pPr>
        <w:spacing w:after="240"/>
        <w:rPr>
          <w:rFonts w:eastAsia="Times New Roman"/>
          <w:szCs w:val="24"/>
        </w:rPr>
      </w:pPr>
      <w:r w:rsidRPr="005C3E35">
        <w:rPr>
          <w:rFonts w:eastAsia="Times New Roman"/>
          <w:szCs w:val="24"/>
        </w:rPr>
        <w:t>Even with all the</w:t>
      </w:r>
      <w:r w:rsidR="00C7130C">
        <w:rPr>
          <w:rFonts w:eastAsia="Times New Roman"/>
          <w:szCs w:val="24"/>
        </w:rPr>
        <w:t>se</w:t>
      </w:r>
      <w:r w:rsidRPr="005C3E35">
        <w:rPr>
          <w:rFonts w:eastAsia="Times New Roman"/>
          <w:szCs w:val="24"/>
        </w:rPr>
        <w:t xml:space="preserve"> attempts at reinforcing and role modelling </w:t>
      </w:r>
      <w:r w:rsidR="00F2192D">
        <w:rPr>
          <w:rFonts w:eastAsia="Times New Roman"/>
          <w:szCs w:val="24"/>
        </w:rPr>
        <w:t>there</w:t>
      </w:r>
      <w:r w:rsidR="00C17D84">
        <w:rPr>
          <w:rFonts w:eastAsia="Times New Roman"/>
          <w:szCs w:val="24"/>
        </w:rPr>
        <w:t xml:space="preserve"> are some </w:t>
      </w:r>
      <w:r w:rsidR="006F4CA3">
        <w:rPr>
          <w:rFonts w:eastAsia="Times New Roman"/>
          <w:szCs w:val="24"/>
        </w:rPr>
        <w:t>children who as they grow and attain adulthood</w:t>
      </w:r>
      <w:r w:rsidR="00F2192D">
        <w:rPr>
          <w:rFonts w:eastAsia="Times New Roman"/>
          <w:szCs w:val="24"/>
        </w:rPr>
        <w:t xml:space="preserve"> </w:t>
      </w:r>
      <w:r w:rsidR="00C7130C">
        <w:rPr>
          <w:rFonts w:eastAsia="Times New Roman"/>
          <w:szCs w:val="24"/>
        </w:rPr>
        <w:t>fail to meet</w:t>
      </w:r>
      <w:r w:rsidRPr="005C3E35">
        <w:rPr>
          <w:rFonts w:eastAsia="Times New Roman"/>
          <w:szCs w:val="24"/>
        </w:rPr>
        <w:t xml:space="preserve"> </w:t>
      </w:r>
      <w:r w:rsidR="00F2192D">
        <w:rPr>
          <w:rFonts w:eastAsia="Times New Roman"/>
          <w:szCs w:val="24"/>
        </w:rPr>
        <w:t xml:space="preserve">these </w:t>
      </w:r>
      <w:r w:rsidRPr="005C3E35">
        <w:rPr>
          <w:rFonts w:eastAsia="Times New Roman"/>
          <w:szCs w:val="24"/>
        </w:rPr>
        <w:t>social expectations</w:t>
      </w:r>
      <w:r w:rsidR="00F2192D">
        <w:rPr>
          <w:rFonts w:eastAsia="Times New Roman"/>
          <w:szCs w:val="24"/>
        </w:rPr>
        <w:t xml:space="preserve">. </w:t>
      </w:r>
      <w:r w:rsidR="00BF1BC4">
        <w:rPr>
          <w:rFonts w:eastAsia="Times New Roman"/>
          <w:szCs w:val="24"/>
        </w:rPr>
        <w:t>To</w:t>
      </w:r>
      <w:r w:rsidR="00F2192D">
        <w:rPr>
          <w:rFonts w:eastAsia="Times New Roman"/>
          <w:szCs w:val="24"/>
        </w:rPr>
        <w:t xml:space="preserve"> social conformists</w:t>
      </w:r>
      <w:r w:rsidRPr="005C3E35">
        <w:rPr>
          <w:rFonts w:eastAsia="Times New Roman"/>
          <w:szCs w:val="24"/>
        </w:rPr>
        <w:t>, the</w:t>
      </w:r>
      <w:r w:rsidR="00F2192D">
        <w:rPr>
          <w:rFonts w:eastAsia="Times New Roman"/>
          <w:szCs w:val="24"/>
        </w:rPr>
        <w:t xml:space="preserve">se </w:t>
      </w:r>
      <w:r w:rsidR="00C17D84">
        <w:rPr>
          <w:rFonts w:eastAsia="Times New Roman"/>
          <w:szCs w:val="24"/>
        </w:rPr>
        <w:t xml:space="preserve">members </w:t>
      </w:r>
      <w:r w:rsidR="006F4CA3">
        <w:rPr>
          <w:rFonts w:eastAsia="Times New Roman"/>
          <w:szCs w:val="24"/>
        </w:rPr>
        <w:t xml:space="preserve">of the society </w:t>
      </w:r>
      <w:r w:rsidR="00F2192D">
        <w:rPr>
          <w:rFonts w:eastAsia="Times New Roman"/>
          <w:szCs w:val="24"/>
        </w:rPr>
        <w:t xml:space="preserve">have a </w:t>
      </w:r>
      <w:r w:rsidR="00F2192D" w:rsidRPr="005C3E35">
        <w:rPr>
          <w:rFonts w:eastAsia="Times New Roman"/>
          <w:szCs w:val="24"/>
        </w:rPr>
        <w:t>‘problem’</w:t>
      </w:r>
      <w:r w:rsidRPr="005C3E35">
        <w:rPr>
          <w:rFonts w:eastAsia="Times New Roman"/>
          <w:szCs w:val="24"/>
        </w:rPr>
        <w:t xml:space="preserve"> that should be address</w:t>
      </w:r>
      <w:r w:rsidR="00C7130C">
        <w:rPr>
          <w:rFonts w:eastAsia="Times New Roman"/>
          <w:szCs w:val="24"/>
        </w:rPr>
        <w:t>ed</w:t>
      </w:r>
      <w:r w:rsidRPr="005C3E35">
        <w:rPr>
          <w:rFonts w:eastAsia="Times New Roman"/>
          <w:szCs w:val="24"/>
        </w:rPr>
        <w:t xml:space="preserve">. </w:t>
      </w:r>
      <w:r w:rsidR="00BF1BC4">
        <w:rPr>
          <w:rFonts w:eastAsia="Times New Roman"/>
          <w:szCs w:val="24"/>
        </w:rPr>
        <w:t>However, t</w:t>
      </w:r>
      <w:r w:rsidR="00C7130C">
        <w:rPr>
          <w:rFonts w:eastAsia="Times New Roman"/>
          <w:szCs w:val="24"/>
        </w:rPr>
        <w:t xml:space="preserve">his </w:t>
      </w:r>
      <w:r w:rsidR="00BF1BC4">
        <w:rPr>
          <w:rFonts w:eastAsia="Times New Roman"/>
          <w:szCs w:val="24"/>
        </w:rPr>
        <w:t xml:space="preserve">position </w:t>
      </w:r>
      <w:r w:rsidR="00C7130C">
        <w:rPr>
          <w:rFonts w:eastAsia="Times New Roman"/>
          <w:szCs w:val="24"/>
        </w:rPr>
        <w:t xml:space="preserve">ignores the fact </w:t>
      </w:r>
      <w:r w:rsidR="009F427F">
        <w:rPr>
          <w:rFonts w:eastAsia="Times New Roman"/>
          <w:szCs w:val="24"/>
        </w:rPr>
        <w:t>that</w:t>
      </w:r>
      <w:r w:rsidR="00C7130C">
        <w:rPr>
          <w:rFonts w:eastAsia="Times New Roman"/>
          <w:szCs w:val="24"/>
        </w:rPr>
        <w:t xml:space="preserve"> </w:t>
      </w:r>
      <w:r w:rsidR="00BF1BC4">
        <w:rPr>
          <w:rFonts w:eastAsia="Times New Roman"/>
          <w:szCs w:val="24"/>
        </w:rPr>
        <w:t xml:space="preserve">an </w:t>
      </w:r>
      <w:r w:rsidR="00C17D84">
        <w:rPr>
          <w:rFonts w:eastAsia="Times New Roman"/>
          <w:szCs w:val="24"/>
        </w:rPr>
        <w:t xml:space="preserve">individual’s </w:t>
      </w:r>
      <w:r w:rsidR="00C17D84" w:rsidRPr="006439F6">
        <w:rPr>
          <w:rFonts w:eastAsia="Times New Roman"/>
          <w:szCs w:val="24"/>
        </w:rPr>
        <w:t>interests</w:t>
      </w:r>
      <w:r w:rsidRPr="006439F6">
        <w:rPr>
          <w:rFonts w:eastAsia="Times New Roman"/>
          <w:szCs w:val="24"/>
        </w:rPr>
        <w:t xml:space="preserve"> and abilities </w:t>
      </w:r>
      <w:r w:rsidRPr="005C3E35">
        <w:rPr>
          <w:rFonts w:eastAsia="Times New Roman"/>
          <w:szCs w:val="24"/>
        </w:rPr>
        <w:t>may turn out to be d</w:t>
      </w:r>
      <w:r w:rsidRPr="006439F6">
        <w:rPr>
          <w:rFonts w:eastAsia="Times New Roman"/>
          <w:szCs w:val="24"/>
        </w:rPr>
        <w:t>ifferent</w:t>
      </w:r>
      <w:r w:rsidR="00C7130C">
        <w:rPr>
          <w:rFonts w:eastAsia="Times New Roman"/>
          <w:szCs w:val="24"/>
        </w:rPr>
        <w:t xml:space="preserve"> </w:t>
      </w:r>
      <w:r w:rsidR="009F427F">
        <w:rPr>
          <w:rFonts w:eastAsia="Times New Roman"/>
          <w:szCs w:val="24"/>
        </w:rPr>
        <w:t xml:space="preserve">from </w:t>
      </w:r>
      <w:r w:rsidR="00C7130C">
        <w:rPr>
          <w:rFonts w:eastAsia="Times New Roman"/>
          <w:szCs w:val="24"/>
        </w:rPr>
        <w:t>the dictates of culture</w:t>
      </w:r>
      <w:r w:rsidRPr="005C3E35">
        <w:rPr>
          <w:rFonts w:eastAsia="Times New Roman"/>
          <w:szCs w:val="24"/>
        </w:rPr>
        <w:t xml:space="preserve">. </w:t>
      </w:r>
      <w:r w:rsidR="00BF1BC4">
        <w:rPr>
          <w:rFonts w:eastAsia="Times New Roman"/>
          <w:szCs w:val="24"/>
        </w:rPr>
        <w:t xml:space="preserve">When </w:t>
      </w:r>
      <w:r w:rsidR="00C17D84">
        <w:rPr>
          <w:rFonts w:eastAsia="Times New Roman"/>
          <w:szCs w:val="24"/>
        </w:rPr>
        <w:t xml:space="preserve">these members </w:t>
      </w:r>
      <w:r w:rsidR="002E4F94">
        <w:rPr>
          <w:rFonts w:eastAsia="Times New Roman"/>
          <w:szCs w:val="24"/>
        </w:rPr>
        <w:t xml:space="preserve">of the society </w:t>
      </w:r>
      <w:r w:rsidR="00C17D84">
        <w:rPr>
          <w:rFonts w:eastAsia="Times New Roman"/>
          <w:szCs w:val="24"/>
        </w:rPr>
        <w:t>who show difference</w:t>
      </w:r>
      <w:r w:rsidR="00F2192D">
        <w:rPr>
          <w:rFonts w:eastAsia="Times New Roman"/>
          <w:szCs w:val="24"/>
        </w:rPr>
        <w:t xml:space="preserve"> express their sexuality</w:t>
      </w:r>
      <w:r w:rsidR="00BF1BC4">
        <w:rPr>
          <w:rFonts w:eastAsia="Times New Roman"/>
          <w:szCs w:val="24"/>
        </w:rPr>
        <w:t xml:space="preserve"> the </w:t>
      </w:r>
      <w:r w:rsidR="00BF1BC4">
        <w:rPr>
          <w:rFonts w:eastAsia="Times New Roman"/>
          <w:szCs w:val="24"/>
        </w:rPr>
        <w:lastRenderedPageBreak/>
        <w:t xml:space="preserve">tendency is to </w:t>
      </w:r>
      <w:r w:rsidRPr="006439F6">
        <w:rPr>
          <w:rFonts w:eastAsia="Times New Roman"/>
          <w:szCs w:val="24"/>
        </w:rPr>
        <w:t>subject</w:t>
      </w:r>
      <w:r w:rsidR="00BF1BC4">
        <w:rPr>
          <w:rFonts w:eastAsia="Times New Roman"/>
          <w:szCs w:val="24"/>
        </w:rPr>
        <w:t xml:space="preserve"> them to </w:t>
      </w:r>
      <w:r w:rsidRPr="006439F6">
        <w:rPr>
          <w:rFonts w:eastAsia="Times New Roman"/>
          <w:szCs w:val="24"/>
        </w:rPr>
        <w:t>discrimination.</w:t>
      </w:r>
      <w:r w:rsidRPr="005C3E35">
        <w:rPr>
          <w:rFonts w:eastAsia="Times New Roman"/>
          <w:szCs w:val="24"/>
        </w:rPr>
        <w:t xml:space="preserve"> </w:t>
      </w:r>
      <w:r w:rsidR="00F2192D">
        <w:rPr>
          <w:rFonts w:eastAsia="Times New Roman"/>
          <w:szCs w:val="24"/>
        </w:rPr>
        <w:t>T</w:t>
      </w:r>
      <w:r w:rsidR="00BF1BC4">
        <w:rPr>
          <w:rFonts w:eastAsia="Times New Roman"/>
          <w:szCs w:val="24"/>
        </w:rPr>
        <w:t xml:space="preserve">his </w:t>
      </w:r>
      <w:r w:rsidR="00F2192D">
        <w:rPr>
          <w:rFonts w:eastAsia="Times New Roman"/>
          <w:szCs w:val="24"/>
        </w:rPr>
        <w:t>expression of differences in sexuality may</w:t>
      </w:r>
      <w:r w:rsidR="00BF1BC4">
        <w:rPr>
          <w:rFonts w:eastAsia="Times New Roman"/>
          <w:szCs w:val="24"/>
        </w:rPr>
        <w:t xml:space="preserve"> </w:t>
      </w:r>
      <w:r w:rsidR="002E4F94">
        <w:rPr>
          <w:rFonts w:eastAsia="Times New Roman"/>
          <w:szCs w:val="24"/>
        </w:rPr>
        <w:t>then manifest</w:t>
      </w:r>
      <w:r w:rsidR="00F2192D">
        <w:rPr>
          <w:rFonts w:eastAsia="Times New Roman"/>
          <w:szCs w:val="24"/>
        </w:rPr>
        <w:t xml:space="preserve"> as</w:t>
      </w:r>
      <w:r w:rsidR="00F2192D" w:rsidRPr="005C3E35">
        <w:rPr>
          <w:rFonts w:eastAsia="Times New Roman"/>
          <w:color w:val="222222"/>
          <w:szCs w:val="24"/>
        </w:rPr>
        <w:t xml:space="preserve"> lesbian</w:t>
      </w:r>
      <w:r w:rsidRPr="005C3E35">
        <w:rPr>
          <w:rFonts w:eastAsia="Times New Roman"/>
          <w:color w:val="222222"/>
          <w:szCs w:val="24"/>
        </w:rPr>
        <w:t xml:space="preserve">, gay, bisexual, </w:t>
      </w:r>
      <w:r w:rsidRPr="005C3E35">
        <w:rPr>
          <w:rFonts w:eastAsia="Times New Roman"/>
          <w:szCs w:val="24"/>
        </w:rPr>
        <w:t>transgender</w:t>
      </w:r>
      <w:r w:rsidR="00AB3638">
        <w:rPr>
          <w:rFonts w:eastAsia="Times New Roman"/>
          <w:szCs w:val="24"/>
        </w:rPr>
        <w:t>,</w:t>
      </w:r>
      <w:r w:rsidRPr="005C3E35">
        <w:rPr>
          <w:rFonts w:eastAsia="Times New Roman"/>
          <w:szCs w:val="24"/>
        </w:rPr>
        <w:t xml:space="preserve"> queer</w:t>
      </w:r>
      <w:r>
        <w:rPr>
          <w:rFonts w:eastAsia="Times New Roman"/>
          <w:szCs w:val="24"/>
        </w:rPr>
        <w:t>-</w:t>
      </w:r>
      <w:r w:rsidRPr="005C3E35">
        <w:rPr>
          <w:rFonts w:eastAsia="Times New Roman"/>
          <w:szCs w:val="24"/>
        </w:rPr>
        <w:t>gender</w:t>
      </w:r>
      <w:r w:rsidR="009F427F">
        <w:rPr>
          <w:rFonts w:eastAsia="Times New Roman"/>
          <w:szCs w:val="24"/>
        </w:rPr>
        <w:t xml:space="preserve"> </w:t>
      </w:r>
      <w:r w:rsidR="007741D3">
        <w:rPr>
          <w:rFonts w:eastAsia="Times New Roman"/>
          <w:szCs w:val="24"/>
        </w:rPr>
        <w:t>or</w:t>
      </w:r>
      <w:r w:rsidR="00AB3638">
        <w:rPr>
          <w:rFonts w:eastAsia="Times New Roman"/>
          <w:szCs w:val="24"/>
        </w:rPr>
        <w:t xml:space="preserve"> intersex </w:t>
      </w:r>
      <w:r w:rsidR="009F427F">
        <w:rPr>
          <w:rFonts w:eastAsia="Times New Roman"/>
          <w:szCs w:val="24"/>
        </w:rPr>
        <w:t>(LGBTQ</w:t>
      </w:r>
      <w:r w:rsidR="00AB3638">
        <w:rPr>
          <w:rFonts w:eastAsia="Times New Roman"/>
          <w:szCs w:val="24"/>
        </w:rPr>
        <w:t>I</w:t>
      </w:r>
      <w:r w:rsidR="009F427F">
        <w:rPr>
          <w:rFonts w:eastAsia="Times New Roman"/>
          <w:szCs w:val="24"/>
        </w:rPr>
        <w:t>)</w:t>
      </w:r>
      <w:r w:rsidRPr="005C3E35">
        <w:rPr>
          <w:rFonts w:eastAsia="Times New Roman"/>
          <w:szCs w:val="24"/>
        </w:rPr>
        <w:t xml:space="preserve">. These sexual </w:t>
      </w:r>
      <w:r w:rsidR="002E4F94">
        <w:rPr>
          <w:rFonts w:eastAsia="Times New Roman"/>
          <w:szCs w:val="24"/>
        </w:rPr>
        <w:t xml:space="preserve">expressions </w:t>
      </w:r>
      <w:r w:rsidRPr="005C3E35">
        <w:rPr>
          <w:rFonts w:eastAsia="Times New Roman"/>
          <w:szCs w:val="24"/>
        </w:rPr>
        <w:t xml:space="preserve">are deemed different, </w:t>
      </w:r>
      <w:r w:rsidR="00BF1BC4">
        <w:rPr>
          <w:rFonts w:eastAsia="Times New Roman"/>
          <w:szCs w:val="24"/>
        </w:rPr>
        <w:t xml:space="preserve">leading to an invitation for </w:t>
      </w:r>
      <w:r w:rsidR="007741D3" w:rsidRPr="005C3E35">
        <w:rPr>
          <w:rFonts w:eastAsia="Times New Roman"/>
          <w:szCs w:val="24"/>
        </w:rPr>
        <w:t>discriminat</w:t>
      </w:r>
      <w:r w:rsidR="007741D3">
        <w:rPr>
          <w:rFonts w:eastAsia="Times New Roman"/>
          <w:szCs w:val="24"/>
        </w:rPr>
        <w:t>ion</w:t>
      </w:r>
      <w:r w:rsidR="007741D3" w:rsidRPr="005C3E35">
        <w:rPr>
          <w:rFonts w:eastAsia="Times New Roman"/>
          <w:szCs w:val="24"/>
        </w:rPr>
        <w:t xml:space="preserve"> </w:t>
      </w:r>
      <w:r w:rsidR="007741D3">
        <w:rPr>
          <w:rFonts w:eastAsia="Times New Roman"/>
          <w:szCs w:val="24"/>
        </w:rPr>
        <w:t xml:space="preserve">in which </w:t>
      </w:r>
      <w:r w:rsidR="00BF1BC4">
        <w:rPr>
          <w:rFonts w:eastAsia="Times New Roman"/>
          <w:szCs w:val="24"/>
        </w:rPr>
        <w:t xml:space="preserve">an </w:t>
      </w:r>
      <w:r w:rsidRPr="005C3E35">
        <w:rPr>
          <w:rFonts w:eastAsia="Times New Roman"/>
          <w:szCs w:val="24"/>
        </w:rPr>
        <w:t>individual</w:t>
      </w:r>
      <w:r w:rsidR="00BF1BC4">
        <w:rPr>
          <w:rFonts w:eastAsia="Times New Roman"/>
          <w:szCs w:val="24"/>
        </w:rPr>
        <w:t>’</w:t>
      </w:r>
      <w:r w:rsidRPr="005C3E35">
        <w:rPr>
          <w:rFonts w:eastAsia="Times New Roman"/>
          <w:szCs w:val="24"/>
        </w:rPr>
        <w:t xml:space="preserve">s human rights violated. </w:t>
      </w:r>
    </w:p>
    <w:p w14:paraId="2AD81607" w14:textId="77777777" w:rsidR="003977E4" w:rsidRPr="007407D1" w:rsidRDefault="003977E4" w:rsidP="007407D1">
      <w:pPr>
        <w:pStyle w:val="Heading2"/>
      </w:pPr>
      <w:r w:rsidRPr="007407D1">
        <w:t>What Are LGBTQ</w:t>
      </w:r>
      <w:r w:rsidR="006D7697" w:rsidRPr="007407D1">
        <w:t>I</w:t>
      </w:r>
      <w:r w:rsidRPr="007407D1">
        <w:t xml:space="preserve"> Rights In Kenya?</w:t>
      </w:r>
    </w:p>
    <w:p w14:paraId="53D4C7AB" w14:textId="77777777" w:rsidR="00225F8A" w:rsidRDefault="003977E4" w:rsidP="00225F8A">
      <w:pPr>
        <w:spacing w:after="240"/>
      </w:pPr>
      <w:r w:rsidRPr="005C3E35">
        <w:t>LGBTQ</w:t>
      </w:r>
      <w:r w:rsidR="00AB3638">
        <w:t>I</w:t>
      </w:r>
      <w:r w:rsidRPr="005C3E35">
        <w:t xml:space="preserve"> rights are human rights that are meant to promote </w:t>
      </w:r>
      <w:r w:rsidR="00A00B72">
        <w:t>the</w:t>
      </w:r>
      <w:r w:rsidRPr="005C3E35">
        <w:t xml:space="preserve"> position of social and legal equality </w:t>
      </w:r>
      <w:r w:rsidR="00C102AF">
        <w:t>for</w:t>
      </w:r>
      <w:r w:rsidRPr="005C3E35">
        <w:t xml:space="preserve"> lesbians, gays, bisexuals</w:t>
      </w:r>
      <w:r w:rsidR="00C102AF">
        <w:t xml:space="preserve">, </w:t>
      </w:r>
      <w:r w:rsidRPr="005C3E35">
        <w:t>queer</w:t>
      </w:r>
      <w:r w:rsidR="00A00B72">
        <w:t xml:space="preserve"> </w:t>
      </w:r>
      <w:r w:rsidR="00C102AF">
        <w:t xml:space="preserve">and </w:t>
      </w:r>
      <w:r w:rsidR="009D1465">
        <w:t xml:space="preserve">the </w:t>
      </w:r>
      <w:r w:rsidR="00C102AF">
        <w:t xml:space="preserve">intersex </w:t>
      </w:r>
      <w:r w:rsidR="00A00B72">
        <w:t>community</w:t>
      </w:r>
      <w:r w:rsidRPr="005C3E35">
        <w:t xml:space="preserve"> in society.</w:t>
      </w:r>
      <w:r w:rsidR="00AB3638">
        <w:rPr>
          <w:rStyle w:val="FootnoteReference"/>
        </w:rPr>
        <w:footnoteReference w:id="18"/>
      </w:r>
      <w:r w:rsidRPr="005C3E35">
        <w:t xml:space="preserve"> LGBTQ</w:t>
      </w:r>
      <w:r w:rsidR="00AB3638">
        <w:t>I</w:t>
      </w:r>
      <w:r w:rsidRPr="005C3E35">
        <w:t xml:space="preserve"> rights</w:t>
      </w:r>
      <w:r w:rsidR="00AB3638">
        <w:t xml:space="preserve"> defenders seek to </w:t>
      </w:r>
      <w:r w:rsidR="00AB3638" w:rsidRPr="005C3E35">
        <w:t>address</w:t>
      </w:r>
      <w:r w:rsidRPr="005C3E35">
        <w:t xml:space="preserve"> injustices against members of </w:t>
      </w:r>
      <w:r w:rsidR="00C102AF">
        <w:t xml:space="preserve">this </w:t>
      </w:r>
      <w:r w:rsidR="00C102AF" w:rsidRPr="005C3E35">
        <w:t>community</w:t>
      </w:r>
      <w:r w:rsidRPr="005C3E35">
        <w:t xml:space="preserve"> by </w:t>
      </w:r>
      <w:r w:rsidR="00C102AF">
        <w:t>focusing on laws that</w:t>
      </w:r>
      <w:r w:rsidR="00EA1DFC">
        <w:t xml:space="preserve"> protect and support the rights of this group while condemning </w:t>
      </w:r>
      <w:r w:rsidR="00C102AF">
        <w:t xml:space="preserve">discrimination based on one’s perceived sexuality. </w:t>
      </w:r>
      <w:r w:rsidR="00EA1DFC">
        <w:t xml:space="preserve">They also focus on laws which justify discrimination and call for their repeal. </w:t>
      </w:r>
      <w:r w:rsidR="00C102AF">
        <w:t xml:space="preserve">LGBTQI rights defenders </w:t>
      </w:r>
      <w:r w:rsidR="006F2A41">
        <w:t xml:space="preserve">lobby for changes in </w:t>
      </w:r>
      <w:r w:rsidRPr="005C3E35">
        <w:t>access to health</w:t>
      </w:r>
      <w:r w:rsidR="006F2A41">
        <w:t xml:space="preserve"> care</w:t>
      </w:r>
      <w:r w:rsidRPr="005C3E35">
        <w:t>, education, public benefits</w:t>
      </w:r>
      <w:r w:rsidR="006F2A41">
        <w:t xml:space="preserve"> </w:t>
      </w:r>
      <w:r w:rsidRPr="005C3E35">
        <w:t xml:space="preserve">and </w:t>
      </w:r>
      <w:r w:rsidR="006F2A41">
        <w:t xml:space="preserve">proposing </w:t>
      </w:r>
      <w:r w:rsidRPr="005C3E35">
        <w:t>recogni</w:t>
      </w:r>
      <w:r w:rsidR="006F2A41">
        <w:t xml:space="preserve">tion for </w:t>
      </w:r>
      <w:r w:rsidRPr="005C3E35">
        <w:t>different types of relationships and families.</w:t>
      </w:r>
      <w:r>
        <w:t xml:space="preserve"> </w:t>
      </w:r>
      <w:r w:rsidRPr="008C200C">
        <w:t>Members of the LGBTQ</w:t>
      </w:r>
      <w:r w:rsidR="00E21B0B">
        <w:t>I</w:t>
      </w:r>
      <w:r w:rsidRPr="008C200C">
        <w:t xml:space="preserve"> community have the same rights as all </w:t>
      </w:r>
      <w:r w:rsidR="00E85B70">
        <w:t xml:space="preserve">other </w:t>
      </w:r>
      <w:r w:rsidRPr="008C200C">
        <w:t xml:space="preserve">members of </w:t>
      </w:r>
      <w:r w:rsidR="00E85B70">
        <w:t xml:space="preserve">the </w:t>
      </w:r>
      <w:r w:rsidRPr="008C200C">
        <w:t>society.</w:t>
      </w:r>
      <w:r w:rsidR="009F427F">
        <w:rPr>
          <w:rStyle w:val="FootnoteReference"/>
        </w:rPr>
        <w:footnoteReference w:id="19"/>
      </w:r>
      <w:r w:rsidRPr="008C200C">
        <w:t xml:space="preserve"> </w:t>
      </w:r>
    </w:p>
    <w:p w14:paraId="3ED1DF5D" w14:textId="44CF2438" w:rsidR="003977E4" w:rsidRDefault="006F2A41" w:rsidP="00570C12">
      <w:pPr>
        <w:spacing w:after="240"/>
      </w:pPr>
      <w:r w:rsidRPr="00D604FA">
        <w:t xml:space="preserve">There is documented evidence from research that </w:t>
      </w:r>
      <w:r w:rsidR="003977E4" w:rsidRPr="00D604FA">
        <w:t>LGBTQ</w:t>
      </w:r>
      <w:r w:rsidR="007B21D0" w:rsidRPr="00D604FA">
        <w:t>I</w:t>
      </w:r>
      <w:r w:rsidR="003977E4" w:rsidRPr="00D604FA">
        <w:t xml:space="preserve"> community face challenges </w:t>
      </w:r>
      <w:r w:rsidR="00A00B72" w:rsidRPr="00D604FA">
        <w:t xml:space="preserve">in </w:t>
      </w:r>
      <w:r w:rsidR="005D61D3" w:rsidRPr="00D604FA">
        <w:t>exercising</w:t>
      </w:r>
      <w:r w:rsidRPr="00D604FA">
        <w:t>,</w:t>
      </w:r>
      <w:r w:rsidR="005D61D3" w:rsidRPr="00D604FA">
        <w:t xml:space="preserve"> </w:t>
      </w:r>
      <w:r w:rsidR="00A00B72" w:rsidRPr="00D604FA">
        <w:t xml:space="preserve">and enjoyment </w:t>
      </w:r>
      <w:r w:rsidR="00E85B70" w:rsidRPr="00D604FA">
        <w:t xml:space="preserve">of </w:t>
      </w:r>
      <w:r w:rsidR="005D61D3" w:rsidRPr="00D604FA">
        <w:t xml:space="preserve">their </w:t>
      </w:r>
      <w:r w:rsidR="00A00B72" w:rsidRPr="00D604FA">
        <w:t xml:space="preserve">rights and </w:t>
      </w:r>
      <w:r w:rsidR="005D61D3" w:rsidRPr="00D604FA">
        <w:t>freedoms</w:t>
      </w:r>
      <w:r w:rsidR="003977E4" w:rsidRPr="00D604FA">
        <w:t xml:space="preserve">. These challenges </w:t>
      </w:r>
      <w:r w:rsidR="00E85B70" w:rsidRPr="00D604FA">
        <w:t>manifest as social</w:t>
      </w:r>
      <w:r w:rsidR="00A00B72" w:rsidRPr="00D604FA">
        <w:t xml:space="preserve">, cultural and legal. </w:t>
      </w:r>
      <w:r w:rsidR="00225F8A" w:rsidRPr="00D604FA">
        <w:t>Appeal to customs and traditions would create further conflicts given the mult</w:t>
      </w:r>
      <w:r w:rsidR="003C1C9F" w:rsidRPr="00D604FA">
        <w:t>i</w:t>
      </w:r>
      <w:r w:rsidR="00225F8A" w:rsidRPr="00D604FA">
        <w:t xml:space="preserve">-ethnic nature of African nations, Kenya included. </w:t>
      </w:r>
      <w:r w:rsidR="003C1C9F" w:rsidRPr="00D604FA">
        <w:t xml:space="preserve">The moderating factor </w:t>
      </w:r>
      <w:r w:rsidR="0079350F" w:rsidRPr="00D604FA">
        <w:t>in modern</w:t>
      </w:r>
      <w:r w:rsidR="00A00B72" w:rsidRPr="00D604FA">
        <w:t xml:space="preserve"> nation-states are </w:t>
      </w:r>
      <w:r w:rsidR="003C1C9F" w:rsidRPr="00D604FA">
        <w:t xml:space="preserve">therefore becomes </w:t>
      </w:r>
      <w:r w:rsidR="00225F8A" w:rsidRPr="00D604FA">
        <w:t xml:space="preserve">the legal structure. </w:t>
      </w:r>
      <w:r w:rsidR="003C1C9F" w:rsidRPr="00D604FA">
        <w:t xml:space="preserve">Consequently, law </w:t>
      </w:r>
      <w:r w:rsidR="00A00B72" w:rsidRPr="00D604FA">
        <w:t xml:space="preserve">become the </w:t>
      </w:r>
      <w:r w:rsidR="004D57BB" w:rsidRPr="00D604FA">
        <w:t>standard</w:t>
      </w:r>
      <w:r w:rsidR="00A00B72" w:rsidRPr="00D604FA">
        <w:t xml:space="preserve"> </w:t>
      </w:r>
      <w:r w:rsidR="00E85B70" w:rsidRPr="00D604FA">
        <w:t xml:space="preserve">upon which </w:t>
      </w:r>
      <w:r w:rsidR="00A00B72" w:rsidRPr="00D604FA">
        <w:t>right and wrong</w:t>
      </w:r>
      <w:r w:rsidR="00E85B70" w:rsidRPr="00D604FA">
        <w:t xml:space="preserve"> is to be judged. Laws provide </w:t>
      </w:r>
      <w:r w:rsidR="00A00B72" w:rsidRPr="00D604FA">
        <w:t>prescri</w:t>
      </w:r>
      <w:r w:rsidR="00E85B70" w:rsidRPr="00D604FA">
        <w:t>ptions on what is</w:t>
      </w:r>
      <w:r w:rsidR="00A00B72" w:rsidRPr="00D604FA">
        <w:t xml:space="preserve"> acceptable and that which is </w:t>
      </w:r>
      <w:r w:rsidR="004D57BB" w:rsidRPr="00D604FA">
        <w:t>prohibited</w:t>
      </w:r>
      <w:r w:rsidR="00A00B72" w:rsidRPr="00D604FA">
        <w:t xml:space="preserve">. Laws in general target different sectors and </w:t>
      </w:r>
      <w:r w:rsidR="004D57BB" w:rsidRPr="00D604FA">
        <w:t>prescribe</w:t>
      </w:r>
      <w:r w:rsidR="00A00B72" w:rsidRPr="00D604FA">
        <w:t xml:space="preserve"> penalties for </w:t>
      </w:r>
      <w:r w:rsidR="004D57BB" w:rsidRPr="00D604FA">
        <w:t>non-compliance</w:t>
      </w:r>
      <w:r w:rsidR="00A00B72" w:rsidRPr="00D604FA">
        <w:t xml:space="preserve">. </w:t>
      </w:r>
      <w:r w:rsidR="004D57BB" w:rsidRPr="00D604FA">
        <w:t xml:space="preserve">In Kenya, </w:t>
      </w:r>
      <w:r w:rsidR="009703A1" w:rsidRPr="00D604FA">
        <w:t>i</w:t>
      </w:r>
      <w:r w:rsidR="009703A1">
        <w:t>n</w:t>
      </w:r>
      <w:r w:rsidR="009703A1" w:rsidRPr="00D604FA">
        <w:t xml:space="preserve"> spite</w:t>
      </w:r>
      <w:r w:rsidR="004D57BB" w:rsidRPr="00D604FA">
        <w:t xml:space="preserve"> of the rights and liberties prescribed in chapter four of the Constitution of Kenya </w:t>
      </w:r>
      <w:r w:rsidR="00850F1B">
        <w:t>(</w:t>
      </w:r>
      <w:r w:rsidR="004D57BB" w:rsidRPr="00D604FA">
        <w:t>2010</w:t>
      </w:r>
      <w:r w:rsidR="00850F1B">
        <w:t>)</w:t>
      </w:r>
      <w:r w:rsidR="004D57BB" w:rsidRPr="00D604FA">
        <w:t>,</w:t>
      </w:r>
      <w:r w:rsidR="004D57BB" w:rsidRPr="00D604FA">
        <w:rPr>
          <w:rStyle w:val="FootnoteReference"/>
        </w:rPr>
        <w:footnoteReference w:id="20"/>
      </w:r>
      <w:r w:rsidR="004D57BB" w:rsidRPr="00D604FA">
        <w:t xml:space="preserve"> </w:t>
      </w:r>
      <w:r w:rsidR="009703A1">
        <w:t xml:space="preserve">the rights and liberties of sexual minorities continue to be violated. </w:t>
      </w:r>
      <w:r w:rsidR="004D57BB" w:rsidRPr="00D604FA">
        <w:t xml:space="preserve">Section 162 and 165 of the </w:t>
      </w:r>
      <w:r w:rsidR="004D57BB" w:rsidRPr="00D604FA">
        <w:lastRenderedPageBreak/>
        <w:t xml:space="preserve">Penal Code, Cap 63 Laws of Kenya </w:t>
      </w:r>
      <w:r w:rsidR="003977E4" w:rsidRPr="00D604FA">
        <w:t>make sexual acts between persons of the same sex a crime.</w:t>
      </w:r>
      <w:r w:rsidR="003977E4" w:rsidRPr="00D604FA">
        <w:rPr>
          <w:rStyle w:val="FootnoteReference"/>
        </w:rPr>
        <w:footnoteReference w:id="21"/>
      </w:r>
      <w:r w:rsidR="002C2062">
        <w:t xml:space="preserve"> </w:t>
      </w:r>
    </w:p>
    <w:p w14:paraId="05A51D80" w14:textId="7E0B60AF" w:rsidR="006A3DD8" w:rsidRPr="00997910" w:rsidRDefault="00FB5E77" w:rsidP="00D604FA">
      <w:pPr>
        <w:spacing w:after="240"/>
        <w:rPr>
          <w:rFonts w:cs="Times New Roman"/>
          <w:szCs w:val="24"/>
        </w:rPr>
      </w:pPr>
      <w:r>
        <w:t>Ideally the</w:t>
      </w:r>
      <w:r w:rsidR="003977E4" w:rsidRPr="005C3E35">
        <w:t xml:space="preserve"> LGBTQ</w:t>
      </w:r>
      <w:r w:rsidR="007B21D0">
        <w:t>I</w:t>
      </w:r>
      <w:r w:rsidR="003977E4" w:rsidRPr="005C3E35">
        <w:t xml:space="preserve"> community are better protected from violence and discrimination by the </w:t>
      </w:r>
      <w:r w:rsidR="00E85B70">
        <w:t>C</w:t>
      </w:r>
      <w:r w:rsidR="003977E4" w:rsidRPr="005C3E35">
        <w:t>onstitution</w:t>
      </w:r>
      <w:r w:rsidR="005D61D3">
        <w:t xml:space="preserve"> which outlaws</w:t>
      </w:r>
      <w:r w:rsidR="003977E4" w:rsidRPr="005C3E35">
        <w:t xml:space="preserve"> discrimination </w:t>
      </w:r>
      <w:r w:rsidR="0079350F">
        <w:t xml:space="preserve">on </w:t>
      </w:r>
      <w:r w:rsidR="00E85B70">
        <w:t>any grounds.</w:t>
      </w:r>
      <w:r w:rsidR="00E85B70" w:rsidRPr="002C2062">
        <w:rPr>
          <w:vertAlign w:val="superscript"/>
        </w:rPr>
        <w:footnoteReference w:id="22"/>
      </w:r>
      <w:r w:rsidR="001E66F3" w:rsidRPr="002C2062">
        <w:rPr>
          <w:vertAlign w:val="superscript"/>
        </w:rPr>
        <w:t xml:space="preserve"> </w:t>
      </w:r>
      <w:r>
        <w:t>However, this is only in theory since tin practice the contrary is the case</w:t>
      </w:r>
      <w:r w:rsidR="0079350F">
        <w:t xml:space="preserve"> as </w:t>
      </w:r>
      <w:r>
        <w:t xml:space="preserve">Kenya’s jurisprudence does not seem to </w:t>
      </w:r>
      <w:r w:rsidR="003977E4" w:rsidRPr="005C3E35">
        <w:t xml:space="preserve">adequately address the needs of </w:t>
      </w:r>
      <w:r>
        <w:t>this community.</w:t>
      </w:r>
      <w:r w:rsidR="003977E4" w:rsidRPr="005C3E35">
        <w:t xml:space="preserve"> </w:t>
      </w:r>
      <w:r w:rsidR="0079350F">
        <w:t>Extant research documents that m</w:t>
      </w:r>
      <w:r w:rsidR="003977E4" w:rsidRPr="005C3E35">
        <w:t xml:space="preserve">embers of this community experience challenges accessing health care and </w:t>
      </w:r>
      <w:r w:rsidR="0079350F">
        <w:t xml:space="preserve">during request </w:t>
      </w:r>
      <w:r w:rsidR="003977E4" w:rsidRPr="005C3E35">
        <w:t>chang</w:t>
      </w:r>
      <w:r w:rsidR="0079350F">
        <w:t>e</w:t>
      </w:r>
      <w:r w:rsidR="003977E4" w:rsidRPr="005C3E35">
        <w:t xml:space="preserve"> their names and gender in legal documents</w:t>
      </w:r>
      <w:r w:rsidR="0079350F">
        <w:t>,</w:t>
      </w:r>
      <w:r>
        <w:rPr>
          <w:rStyle w:val="FootnoteReference"/>
        </w:rPr>
        <w:footnoteReference w:id="23"/>
      </w:r>
      <w:r w:rsidR="00271D51">
        <w:t xml:space="preserve"> </w:t>
      </w:r>
      <w:r w:rsidR="0079350F">
        <w:t>a</w:t>
      </w:r>
      <w:r>
        <w:t>ll on account of sexuality.</w:t>
      </w:r>
      <w:r w:rsidRPr="00997910">
        <w:rPr>
          <w:rFonts w:cs="Times New Roman"/>
          <w:szCs w:val="24"/>
        </w:rPr>
        <w:t xml:space="preserve"> For</w:t>
      </w:r>
      <w:r w:rsidR="00271D51" w:rsidRPr="00997910">
        <w:rPr>
          <w:rFonts w:cs="Times New Roman"/>
          <w:szCs w:val="24"/>
        </w:rPr>
        <w:t xml:space="preserve"> example, while same sex-sexual activity </w:t>
      </w:r>
      <w:r w:rsidR="0079350F">
        <w:rPr>
          <w:rFonts w:cs="Times New Roman"/>
          <w:szCs w:val="24"/>
        </w:rPr>
        <w:t xml:space="preserve">among females </w:t>
      </w:r>
      <w:r w:rsidR="00271D51" w:rsidRPr="00997910">
        <w:rPr>
          <w:rFonts w:cs="Times New Roman"/>
          <w:szCs w:val="24"/>
        </w:rPr>
        <w:t>is not explicitly prohibited by law,</w:t>
      </w:r>
      <w:r w:rsidR="00F8209C">
        <w:rPr>
          <w:rFonts w:cs="Times New Roman"/>
          <w:szCs w:val="24"/>
        </w:rPr>
        <w:t xml:space="preserve"> lesbians,</w:t>
      </w:r>
      <w:r w:rsidR="00A36CE3">
        <w:rPr>
          <w:rStyle w:val="FootnoteReference"/>
          <w:szCs w:val="24"/>
        </w:rPr>
        <w:footnoteReference w:id="24"/>
      </w:r>
      <w:r w:rsidR="00271D51" w:rsidRPr="00997910">
        <w:rPr>
          <w:rFonts w:cs="Times New Roman"/>
          <w:szCs w:val="24"/>
        </w:rPr>
        <w:t xml:space="preserve"> bisexual women and transgender people, are not recognised in the Kenya</w:t>
      </w:r>
      <w:r w:rsidR="0079350F">
        <w:rPr>
          <w:rFonts w:cs="Times New Roman"/>
          <w:szCs w:val="24"/>
        </w:rPr>
        <w:t>’s</w:t>
      </w:r>
      <w:r w:rsidR="00271D51" w:rsidRPr="00997910">
        <w:rPr>
          <w:rFonts w:cs="Times New Roman"/>
          <w:szCs w:val="24"/>
        </w:rPr>
        <w:t xml:space="preserve"> Constitution, and </w:t>
      </w:r>
      <w:r w:rsidR="006A3DD8">
        <w:rPr>
          <w:rFonts w:cs="Times New Roman"/>
          <w:szCs w:val="24"/>
        </w:rPr>
        <w:t xml:space="preserve">they are subsequently </w:t>
      </w:r>
      <w:r w:rsidR="00271D51" w:rsidRPr="00997910">
        <w:rPr>
          <w:rFonts w:cs="Times New Roman"/>
          <w:szCs w:val="24"/>
        </w:rPr>
        <w:t xml:space="preserve">discriminated against, covertly, as well as </w:t>
      </w:r>
      <w:r w:rsidR="006A3DD8">
        <w:rPr>
          <w:rFonts w:cs="Times New Roman"/>
          <w:szCs w:val="24"/>
        </w:rPr>
        <w:t xml:space="preserve">coerced to </w:t>
      </w:r>
      <w:r w:rsidR="00271D51" w:rsidRPr="00997910">
        <w:rPr>
          <w:rFonts w:cs="Times New Roman"/>
          <w:szCs w:val="24"/>
        </w:rPr>
        <w:t>undergo corrective rape practices by heterosexual m</w:t>
      </w:r>
      <w:r w:rsidR="006A3DD8">
        <w:rPr>
          <w:rFonts w:cs="Times New Roman"/>
          <w:szCs w:val="24"/>
        </w:rPr>
        <w:t>ales.</w:t>
      </w:r>
    </w:p>
    <w:p w14:paraId="10ED8126" w14:textId="04D51B69" w:rsidR="003977E4" w:rsidRPr="005C3E35" w:rsidRDefault="003977E4" w:rsidP="0074421A">
      <w:pPr>
        <w:rPr>
          <w:szCs w:val="24"/>
        </w:rPr>
      </w:pPr>
      <w:r w:rsidRPr="005C3E35">
        <w:rPr>
          <w:szCs w:val="24"/>
        </w:rPr>
        <w:t>The Constitution of Kenya</w:t>
      </w:r>
      <w:r w:rsidR="001058DD">
        <w:rPr>
          <w:szCs w:val="24"/>
        </w:rPr>
        <w:t xml:space="preserve"> (</w:t>
      </w:r>
      <w:r w:rsidRPr="005C3E35">
        <w:rPr>
          <w:szCs w:val="24"/>
        </w:rPr>
        <w:t>2010</w:t>
      </w:r>
      <w:r w:rsidR="001058DD">
        <w:rPr>
          <w:szCs w:val="24"/>
        </w:rPr>
        <w:t>)</w:t>
      </w:r>
      <w:r w:rsidRPr="005C3E35">
        <w:rPr>
          <w:szCs w:val="24"/>
        </w:rPr>
        <w:t xml:space="preserve"> at </w:t>
      </w:r>
      <w:r w:rsidR="001058DD">
        <w:rPr>
          <w:szCs w:val="24"/>
        </w:rPr>
        <w:t>a</w:t>
      </w:r>
      <w:r w:rsidRPr="005C3E35">
        <w:rPr>
          <w:szCs w:val="24"/>
        </w:rPr>
        <w:t xml:space="preserve">rticle 19 (3) (a) states </w:t>
      </w:r>
      <w:r w:rsidR="001571A5" w:rsidRPr="005C3E35">
        <w:rPr>
          <w:szCs w:val="24"/>
        </w:rPr>
        <w:t>that rights</w:t>
      </w:r>
      <w:r w:rsidRPr="005C3E35">
        <w:rPr>
          <w:szCs w:val="24"/>
        </w:rPr>
        <w:t xml:space="preserve"> belong to</w:t>
      </w:r>
      <w:r w:rsidR="001571A5">
        <w:rPr>
          <w:szCs w:val="24"/>
        </w:rPr>
        <w:t xml:space="preserve"> </w:t>
      </w:r>
      <w:r w:rsidR="00EF5469">
        <w:rPr>
          <w:szCs w:val="24"/>
        </w:rPr>
        <w:t xml:space="preserve">individuals </w:t>
      </w:r>
      <w:r w:rsidR="00EF5469" w:rsidRPr="005C3E35">
        <w:rPr>
          <w:szCs w:val="24"/>
        </w:rPr>
        <w:t>because</w:t>
      </w:r>
      <w:r w:rsidRPr="005C3E35">
        <w:rPr>
          <w:szCs w:val="24"/>
        </w:rPr>
        <w:t xml:space="preserve"> </w:t>
      </w:r>
      <w:r w:rsidR="001571A5">
        <w:rPr>
          <w:szCs w:val="24"/>
        </w:rPr>
        <w:t xml:space="preserve">they </w:t>
      </w:r>
      <w:r w:rsidRPr="005C3E35">
        <w:rPr>
          <w:szCs w:val="24"/>
        </w:rPr>
        <w:t>are human being</w:t>
      </w:r>
      <w:r w:rsidR="001571A5">
        <w:rPr>
          <w:szCs w:val="24"/>
        </w:rPr>
        <w:t>s</w:t>
      </w:r>
      <w:r w:rsidRPr="005C3E35">
        <w:rPr>
          <w:szCs w:val="24"/>
        </w:rPr>
        <w:t xml:space="preserve"> and are not granted by the state. Although</w:t>
      </w:r>
      <w:r w:rsidR="005D61D3">
        <w:rPr>
          <w:szCs w:val="24"/>
        </w:rPr>
        <w:t xml:space="preserve"> some rights are subject </w:t>
      </w:r>
      <w:r w:rsidR="001571A5">
        <w:rPr>
          <w:szCs w:val="24"/>
        </w:rPr>
        <w:t xml:space="preserve">to </w:t>
      </w:r>
      <w:r w:rsidR="005D61D3">
        <w:rPr>
          <w:szCs w:val="24"/>
        </w:rPr>
        <w:t xml:space="preserve">the limitation clause </w:t>
      </w:r>
      <w:r w:rsidR="001571A5">
        <w:rPr>
          <w:szCs w:val="24"/>
        </w:rPr>
        <w:t xml:space="preserve">of </w:t>
      </w:r>
      <w:r w:rsidR="001058DD">
        <w:rPr>
          <w:szCs w:val="24"/>
        </w:rPr>
        <w:t>a</w:t>
      </w:r>
      <w:r w:rsidR="005D61D3">
        <w:rPr>
          <w:szCs w:val="24"/>
        </w:rPr>
        <w:t>rticle 24 of the Constitution,</w:t>
      </w:r>
      <w:r w:rsidR="00EF5469">
        <w:rPr>
          <w:szCs w:val="24"/>
        </w:rPr>
        <w:t xml:space="preserve"> others </w:t>
      </w:r>
      <w:r w:rsidRPr="005C3E35">
        <w:rPr>
          <w:szCs w:val="24"/>
        </w:rPr>
        <w:t>cannot be limited at all</w:t>
      </w:r>
      <w:r w:rsidR="005D61D3">
        <w:rPr>
          <w:szCs w:val="24"/>
        </w:rPr>
        <w:t xml:space="preserve"> including</w:t>
      </w:r>
      <w:r w:rsidR="00EF5469">
        <w:rPr>
          <w:szCs w:val="24"/>
        </w:rPr>
        <w:t xml:space="preserve"> but not limited to</w:t>
      </w:r>
      <w:r w:rsidR="005D61D3">
        <w:rPr>
          <w:szCs w:val="24"/>
        </w:rPr>
        <w:t>:</w:t>
      </w:r>
    </w:p>
    <w:p w14:paraId="028043EF" w14:textId="77777777" w:rsidR="003977E4" w:rsidRPr="008E6D6F" w:rsidRDefault="003977E4" w:rsidP="00474B3E">
      <w:pPr>
        <w:pStyle w:val="ListParagraph"/>
        <w:numPr>
          <w:ilvl w:val="0"/>
          <w:numId w:val="27"/>
        </w:numPr>
      </w:pPr>
      <w:r w:rsidRPr="008E6D6F">
        <w:t>Freedom from torture and cruel, inhuman or degrading treatment or punishment;</w:t>
      </w:r>
    </w:p>
    <w:p w14:paraId="0DBAD2FC" w14:textId="77777777" w:rsidR="003977E4" w:rsidRPr="008E6D6F" w:rsidRDefault="003977E4" w:rsidP="00570C12">
      <w:pPr>
        <w:pStyle w:val="ListParagraph"/>
        <w:numPr>
          <w:ilvl w:val="0"/>
          <w:numId w:val="27"/>
        </w:numPr>
      </w:pPr>
      <w:r w:rsidRPr="008E6D6F">
        <w:t>Freedom from slavery or servitude;</w:t>
      </w:r>
    </w:p>
    <w:p w14:paraId="533CD900" w14:textId="77777777" w:rsidR="003977E4" w:rsidRPr="008E6D6F" w:rsidRDefault="003977E4" w:rsidP="00570C12">
      <w:pPr>
        <w:pStyle w:val="ListParagraph"/>
        <w:numPr>
          <w:ilvl w:val="0"/>
          <w:numId w:val="27"/>
        </w:numPr>
      </w:pPr>
      <w:r w:rsidRPr="008E6D6F">
        <w:t>Right to a fair trial; and</w:t>
      </w:r>
    </w:p>
    <w:p w14:paraId="605DC278" w14:textId="77777777" w:rsidR="003977E4" w:rsidRPr="008E6D6F" w:rsidRDefault="003977E4" w:rsidP="00570C12">
      <w:pPr>
        <w:pStyle w:val="ListParagraph"/>
        <w:numPr>
          <w:ilvl w:val="0"/>
          <w:numId w:val="27"/>
        </w:numPr>
      </w:pPr>
      <w:r w:rsidRPr="008E6D6F">
        <w:t>Right to an order that a person be presented before a Court of law.</w:t>
      </w:r>
    </w:p>
    <w:p w14:paraId="07FA5DE6" w14:textId="000B3585" w:rsidR="003977E4" w:rsidRDefault="003977E4" w:rsidP="00570C12">
      <w:pPr>
        <w:spacing w:after="240"/>
        <w:rPr>
          <w:szCs w:val="24"/>
        </w:rPr>
      </w:pPr>
      <w:r w:rsidRPr="005C3E35">
        <w:rPr>
          <w:szCs w:val="24"/>
        </w:rPr>
        <w:t xml:space="preserve">According to </w:t>
      </w:r>
      <w:r w:rsidR="001058DD">
        <w:rPr>
          <w:szCs w:val="24"/>
        </w:rPr>
        <w:t>a</w:t>
      </w:r>
      <w:r w:rsidRPr="005C3E35">
        <w:rPr>
          <w:szCs w:val="24"/>
        </w:rPr>
        <w:t xml:space="preserve">rticle 27 of the constitution, every person is equal before the law. </w:t>
      </w:r>
      <w:r w:rsidR="00AD0F72">
        <w:rPr>
          <w:szCs w:val="24"/>
        </w:rPr>
        <w:t>a</w:t>
      </w:r>
      <w:r w:rsidRPr="005C3E35">
        <w:rPr>
          <w:szCs w:val="24"/>
        </w:rPr>
        <w:t xml:space="preserve">rticle 27 (4) </w:t>
      </w:r>
      <w:r w:rsidR="00EA7A2A">
        <w:rPr>
          <w:szCs w:val="24"/>
        </w:rPr>
        <w:t xml:space="preserve">provides </w:t>
      </w:r>
      <w:r w:rsidRPr="005C3E35">
        <w:rPr>
          <w:szCs w:val="24"/>
        </w:rPr>
        <w:t xml:space="preserve">that: The State shall not discriminate directly or indirectly against any person on any ground, including race, sex, pregnancy, marital status, health status, ethnic or social origin, colour, age, disability, religion, conscience, </w:t>
      </w:r>
      <w:r w:rsidRPr="005C3E35">
        <w:rPr>
          <w:szCs w:val="24"/>
        </w:rPr>
        <w:lastRenderedPageBreak/>
        <w:t xml:space="preserve">belief, culture, dress, language or birth. Although sexual orientation is not included in </w:t>
      </w:r>
      <w:r w:rsidR="001058DD">
        <w:rPr>
          <w:szCs w:val="24"/>
        </w:rPr>
        <w:t>a</w:t>
      </w:r>
      <w:r w:rsidRPr="005C3E35">
        <w:rPr>
          <w:szCs w:val="24"/>
        </w:rPr>
        <w:t xml:space="preserve">rticle 27 (4) of the constitution, this does not mean that discrimination against an individual because of their sexual orientation is allowed. </w:t>
      </w:r>
    </w:p>
    <w:p w14:paraId="2AF0EE0A" w14:textId="530D2810" w:rsidR="00E849E1" w:rsidRPr="008C1F64" w:rsidRDefault="00E849E1" w:rsidP="004A1D0A">
      <w:pPr>
        <w:pStyle w:val="Heading3"/>
        <w:spacing w:after="240"/>
      </w:pPr>
      <w:r>
        <w:t>C</w:t>
      </w:r>
      <w:r w:rsidRPr="008C1F64">
        <w:t>hildren</w:t>
      </w:r>
      <w:r>
        <w:t xml:space="preserve">’s </w:t>
      </w:r>
      <w:r w:rsidR="002A2788">
        <w:t>Rights and the Constitution of Kenya</w:t>
      </w:r>
      <w:r w:rsidR="00513168">
        <w:t xml:space="preserve">, </w:t>
      </w:r>
      <w:r w:rsidR="002A2788">
        <w:t>2010</w:t>
      </w:r>
    </w:p>
    <w:p w14:paraId="026441B1" w14:textId="7916AA1E" w:rsidR="00D349E7" w:rsidRDefault="004A1D0A" w:rsidP="00D604FA">
      <w:pPr>
        <w:spacing w:after="240"/>
      </w:pPr>
      <w:r>
        <w:t xml:space="preserve">In discussing human rights </w:t>
      </w:r>
      <w:r w:rsidR="00682BDE">
        <w:t xml:space="preserve">we can </w:t>
      </w:r>
      <w:r>
        <w:t xml:space="preserve">expand our circle to include as </w:t>
      </w:r>
      <w:r w:rsidR="0038237C">
        <w:t>many</w:t>
      </w:r>
      <w:r>
        <w:t xml:space="preserve"> rights that are covered within the meaning of </w:t>
      </w:r>
      <w:r w:rsidR="0038237C">
        <w:t>Chapter</w:t>
      </w:r>
      <w:r>
        <w:t xml:space="preserve"> four of the Constitution of Kenya </w:t>
      </w:r>
      <w:r w:rsidR="00513168">
        <w:t>(</w:t>
      </w:r>
      <w:r>
        <w:t>2010</w:t>
      </w:r>
      <w:r w:rsidR="00513168">
        <w:t>)</w:t>
      </w:r>
      <w:r>
        <w:t xml:space="preserve"> but which </w:t>
      </w:r>
      <w:r w:rsidR="0038237C">
        <w:t xml:space="preserve">society for one reason or another find it proper to violate. </w:t>
      </w:r>
      <w:r w:rsidR="00D349E7">
        <w:t>For example, w</w:t>
      </w:r>
      <w:r w:rsidR="00682BDE">
        <w:t xml:space="preserve">hat should we </w:t>
      </w:r>
      <w:r w:rsidR="0038237C">
        <w:t xml:space="preserve">do with children who are intersex? </w:t>
      </w:r>
    </w:p>
    <w:p w14:paraId="77E8B2EC" w14:textId="2DCFB167" w:rsidR="004A1D0A" w:rsidRDefault="00682BDE" w:rsidP="00596D3C">
      <w:r>
        <w:t>While l</w:t>
      </w:r>
      <w:r w:rsidR="0038237C">
        <w:t>iterature abound on how t</w:t>
      </w:r>
      <w:r w:rsidR="00E849E1">
        <w:t xml:space="preserve">he Constitution of Kenya </w:t>
      </w:r>
      <w:r w:rsidR="00513168">
        <w:t>(</w:t>
      </w:r>
      <w:r w:rsidR="00E849E1">
        <w:t>2010</w:t>
      </w:r>
      <w:r w:rsidR="00513168">
        <w:t>)</w:t>
      </w:r>
      <w:r w:rsidR="00E849E1">
        <w:t xml:space="preserve"> has been lauded as among the most progressive in the world</w:t>
      </w:r>
      <w:r w:rsidR="00D349E7">
        <w:t xml:space="preserve">, it needs to stand out </w:t>
      </w:r>
      <w:r w:rsidR="00D604FA">
        <w:t xml:space="preserve">and demonstrate inclusion of LGBTQI </w:t>
      </w:r>
      <w:r w:rsidR="00D349E7">
        <w:t>children</w:t>
      </w:r>
      <w:r w:rsidR="00E849E1">
        <w:t>.</w:t>
      </w:r>
      <w:r w:rsidR="004A1D0A">
        <w:rPr>
          <w:rStyle w:val="FootnoteReference"/>
        </w:rPr>
        <w:footnoteReference w:id="25"/>
      </w:r>
      <w:r w:rsidR="00E849E1">
        <w:t xml:space="preserve"> </w:t>
      </w:r>
      <w:r w:rsidR="00D349E7">
        <w:t xml:space="preserve">It is imperative to note that this progressive </w:t>
      </w:r>
      <w:r w:rsidR="00D604FA">
        <w:t>constitution</w:t>
      </w:r>
      <w:r w:rsidR="00D349E7">
        <w:t xml:space="preserve"> </w:t>
      </w:r>
      <w:r w:rsidR="00D604FA">
        <w:t>has e</w:t>
      </w:r>
      <w:r w:rsidR="00D349E7">
        <w:t>xpanded t</w:t>
      </w:r>
      <w:r w:rsidR="00D604FA">
        <w:t>h</w:t>
      </w:r>
      <w:r w:rsidR="00D349E7">
        <w:t xml:space="preserve">e </w:t>
      </w:r>
      <w:r w:rsidR="00D604FA">
        <w:t>dimensions</w:t>
      </w:r>
      <w:r w:rsidR="00D349E7">
        <w:t xml:space="preserve"> of concern to include the </w:t>
      </w:r>
      <w:r w:rsidR="00D604FA">
        <w:t>children’s rights</w:t>
      </w:r>
      <w:r w:rsidR="00D349E7">
        <w:t xml:space="preserve">. </w:t>
      </w:r>
      <w:r w:rsidR="00CC5FB3">
        <w:t>T</w:t>
      </w:r>
      <w:r w:rsidR="00801A4A">
        <w:t>he</w:t>
      </w:r>
      <w:r w:rsidR="00E849E1">
        <w:t xml:space="preserve"> 6</w:t>
      </w:r>
      <w:r w:rsidR="00E849E1" w:rsidRPr="002A731A">
        <w:rPr>
          <w:vertAlign w:val="superscript"/>
        </w:rPr>
        <w:t>th</w:t>
      </w:r>
      <w:r w:rsidR="00E849E1">
        <w:t xml:space="preserve"> day of July 2022 </w:t>
      </w:r>
      <w:r w:rsidR="00CC5FB3">
        <w:t xml:space="preserve">marked a milestone </w:t>
      </w:r>
      <w:r w:rsidR="00801A4A">
        <w:t xml:space="preserve">in the </w:t>
      </w:r>
      <w:r w:rsidR="00E849E1">
        <w:t>history of human rights in Kenya</w:t>
      </w:r>
      <w:r w:rsidR="00CC5FB3">
        <w:t xml:space="preserve"> because </w:t>
      </w:r>
      <w:r w:rsidR="00801A4A">
        <w:t xml:space="preserve">a </w:t>
      </w:r>
      <w:r w:rsidR="00E849E1">
        <w:t>revised Children’s Act of 2022</w:t>
      </w:r>
      <w:r w:rsidR="00801A4A">
        <w:t xml:space="preserve"> came into effect</w:t>
      </w:r>
      <w:r w:rsidR="00E849E1">
        <w:t>.</w:t>
      </w:r>
      <w:r w:rsidR="00E849E1">
        <w:rPr>
          <w:rStyle w:val="FootnoteReference"/>
        </w:rPr>
        <w:footnoteReference w:id="26"/>
      </w:r>
      <w:r w:rsidR="00E849E1">
        <w:t xml:space="preserve"> The general objectives of the Act are </w:t>
      </w:r>
      <w:r w:rsidR="00E849E1" w:rsidRPr="00E150E7">
        <w:rPr>
          <w:i/>
        </w:rPr>
        <w:t>inter alia</w:t>
      </w:r>
      <w:r w:rsidR="00E849E1">
        <w:t>:</w:t>
      </w:r>
    </w:p>
    <w:p w14:paraId="3524F7E7" w14:textId="27B6D8F9" w:rsidR="00E849E1" w:rsidRPr="004A1D0A" w:rsidRDefault="00E849E1" w:rsidP="00474B3E">
      <w:pPr>
        <w:pStyle w:val="ListParagraph"/>
        <w:numPr>
          <w:ilvl w:val="0"/>
          <w:numId w:val="28"/>
        </w:numPr>
      </w:pPr>
      <w:r w:rsidRPr="004A1D0A">
        <w:t xml:space="preserve">to give effect to the provisions of </w:t>
      </w:r>
      <w:r w:rsidR="00AD0F72">
        <w:t>a</w:t>
      </w:r>
      <w:r w:rsidRPr="004A1D0A">
        <w:t>rticles 27, 47, 4 8, 4 9, 50, 51 and 53 of the Constitution on matters relating to children;</w:t>
      </w:r>
      <w:r w:rsidRPr="004A1D0A">
        <w:rPr>
          <w:rStyle w:val="FootnoteReference"/>
          <w:rFonts w:ascii="Times New Roman" w:hAnsi="Times New Roman" w:cs="Times New Roman"/>
        </w:rPr>
        <w:footnoteReference w:id="27"/>
      </w:r>
      <w:r w:rsidRPr="004A1D0A">
        <w:t xml:space="preserve"> and</w:t>
      </w:r>
      <w:r w:rsidR="00244E73">
        <w:t>,</w:t>
      </w:r>
    </w:p>
    <w:p w14:paraId="66472F9C" w14:textId="77777777" w:rsidR="00E849E1" w:rsidRPr="008A647E" w:rsidRDefault="0038237C" w:rsidP="00570C12">
      <w:pPr>
        <w:pStyle w:val="ListParagraph"/>
        <w:numPr>
          <w:ilvl w:val="0"/>
          <w:numId w:val="28"/>
        </w:numPr>
      </w:pPr>
      <w:r>
        <w:t>to</w:t>
      </w:r>
      <w:r w:rsidR="00E849E1" w:rsidRPr="004A1D0A">
        <w:t xml:space="preserve"> give effect to the State’s obligations concerning the well-being of children </w:t>
      </w:r>
      <w:r w:rsidR="00E849E1" w:rsidRPr="0038237C">
        <w:t xml:space="preserve">in </w:t>
      </w:r>
      <w:r w:rsidR="00E849E1" w:rsidRPr="00B22ACC">
        <w:t>accordance with the general rules of international law, treaties and conventions ratified by Kenya</w:t>
      </w:r>
      <w:r w:rsidR="00E849E1" w:rsidRPr="008A647E">
        <w:t>.</w:t>
      </w:r>
      <w:r w:rsidR="00E849E1">
        <w:rPr>
          <w:rStyle w:val="FootnoteReference"/>
        </w:rPr>
        <w:footnoteReference w:id="28"/>
      </w:r>
    </w:p>
    <w:p w14:paraId="53FA5394" w14:textId="56DA98B0" w:rsidR="00244E73" w:rsidRPr="00596D3C" w:rsidRDefault="00E849E1" w:rsidP="00457A6C">
      <w:pPr>
        <w:spacing w:after="240"/>
      </w:pPr>
      <w:r>
        <w:t>Two things about the Act</w:t>
      </w:r>
      <w:r w:rsidR="00801A4A">
        <w:t xml:space="preserve"> that we are drawn to this discussion</w:t>
      </w:r>
      <w:r>
        <w:t xml:space="preserve">: First, it fulfils the Constitutional requirements regarding Children’s rights by repealing the offending </w:t>
      </w:r>
      <w:r>
        <w:lastRenderedPageBreak/>
        <w:t>sections in the old Act,</w:t>
      </w:r>
      <w:r>
        <w:rPr>
          <w:rStyle w:val="FootnoteReference"/>
        </w:rPr>
        <w:footnoteReference w:id="29"/>
      </w:r>
      <w:r>
        <w:t xml:space="preserve"> and, second it grants equal rights and recognition to intersex people as the third gender with an ‘I’ gender marker in response to the</w:t>
      </w:r>
      <w:r w:rsidR="00244E73">
        <w:t xml:space="preserve"> gender</w:t>
      </w:r>
      <w:r>
        <w:t>.</w:t>
      </w:r>
      <w:r>
        <w:rPr>
          <w:rStyle w:val="FootnoteReference"/>
        </w:rPr>
        <w:footnoteReference w:id="30"/>
      </w:r>
      <w:r>
        <w:t xml:space="preserve"> This makes Kenya the first African country that has granted the intersex community this universal right. The new law requires intersex children to be treated with dignity and have equal access to basic services like medical treatment and education, in addition to social protection services as a special need. It also requires the accommodation of intersex children in child protection centres and other facilities. This is in contrast to the repealed </w:t>
      </w:r>
      <w:r w:rsidRPr="00596D3C">
        <w:t>Children’s; Act which did not make any provision for such children.</w:t>
      </w:r>
      <w:r w:rsidRPr="00801A4A">
        <w:rPr>
          <w:vertAlign w:val="superscript"/>
        </w:rPr>
        <w:footnoteReference w:id="31"/>
      </w:r>
      <w:r w:rsidRPr="00596D3C">
        <w:t xml:space="preserve"> This is </w:t>
      </w:r>
      <w:r w:rsidR="00801A4A">
        <w:t xml:space="preserve">key among </w:t>
      </w:r>
      <w:r w:rsidRPr="00596D3C">
        <w:t xml:space="preserve">the </w:t>
      </w:r>
      <w:r w:rsidR="00801A4A">
        <w:t xml:space="preserve">gains </w:t>
      </w:r>
      <w:r w:rsidRPr="00596D3C">
        <w:t>deriving from the C</w:t>
      </w:r>
      <w:r w:rsidR="00F01930">
        <w:t>onstitution of Kenya (</w:t>
      </w:r>
      <w:r w:rsidRPr="00596D3C">
        <w:t>2010</w:t>
      </w:r>
      <w:r w:rsidR="00F01930">
        <w:t>)</w:t>
      </w:r>
      <w:r w:rsidRPr="00596D3C">
        <w:t xml:space="preserve">. The </w:t>
      </w:r>
      <w:r w:rsidR="00801A4A">
        <w:t xml:space="preserve">current contention is that these </w:t>
      </w:r>
      <w:r w:rsidR="00801A4A" w:rsidRPr="00596D3C">
        <w:t>same</w:t>
      </w:r>
      <w:r w:rsidRPr="00596D3C">
        <w:t xml:space="preserve"> measures ought to be extended to adult members of the LGBTQI community, the spirit being to uphold their human rights. </w:t>
      </w:r>
      <w:r w:rsidR="00244E73" w:rsidRPr="00596D3C">
        <w:t xml:space="preserve">The reasoning here is that soon these children will become adults and fall outside the meaning of </w:t>
      </w:r>
      <w:r w:rsidR="00DA509C" w:rsidRPr="00596D3C">
        <w:t xml:space="preserve">the </w:t>
      </w:r>
      <w:r w:rsidR="00244E73" w:rsidRPr="00596D3C">
        <w:t xml:space="preserve">Children’s Act. What happens then when the society is frowning on their sexuality since it is </w:t>
      </w:r>
      <w:r w:rsidR="00D349E7">
        <w:t>not identified in the constitution as warranting acceptance and recognition?</w:t>
      </w:r>
      <w:r w:rsidR="00244E73" w:rsidRPr="00596D3C">
        <w:t xml:space="preserve"> </w:t>
      </w:r>
    </w:p>
    <w:p w14:paraId="456541C9" w14:textId="77777777" w:rsidR="003977E4" w:rsidRPr="005C3E35" w:rsidRDefault="00C542C6" w:rsidP="009F427F">
      <w:pPr>
        <w:pStyle w:val="Heading2"/>
        <w:rPr>
          <w:rFonts w:eastAsia="Times New Roman"/>
        </w:rPr>
      </w:pPr>
      <w:r>
        <w:rPr>
          <w:rFonts w:eastAsia="Times New Roman"/>
        </w:rPr>
        <w:t xml:space="preserve">The Status of </w:t>
      </w:r>
      <w:r w:rsidR="003977E4" w:rsidRPr="005C3E35">
        <w:rPr>
          <w:rFonts w:eastAsia="Times New Roman"/>
        </w:rPr>
        <w:t>LGBT</w:t>
      </w:r>
      <w:r w:rsidR="009F427F">
        <w:rPr>
          <w:rFonts w:eastAsia="Times New Roman"/>
        </w:rPr>
        <w:t>Q</w:t>
      </w:r>
      <w:r w:rsidR="000C09E9">
        <w:rPr>
          <w:rFonts w:eastAsia="Times New Roman"/>
        </w:rPr>
        <w:t>I</w:t>
      </w:r>
      <w:r w:rsidR="003977E4" w:rsidRPr="005C3E35">
        <w:rPr>
          <w:rFonts w:eastAsia="Times New Roman"/>
        </w:rPr>
        <w:t xml:space="preserve"> and </w:t>
      </w:r>
      <w:r w:rsidR="009F427F">
        <w:rPr>
          <w:rFonts w:eastAsia="Times New Roman"/>
        </w:rPr>
        <w:t xml:space="preserve">the </w:t>
      </w:r>
      <w:r w:rsidR="003977E4" w:rsidRPr="005C3E35">
        <w:rPr>
          <w:rFonts w:eastAsia="Times New Roman"/>
        </w:rPr>
        <w:t>Law in Kenya</w:t>
      </w:r>
    </w:p>
    <w:p w14:paraId="18BD7796" w14:textId="2F1E4F87" w:rsidR="003977E4" w:rsidRPr="00E97A4C" w:rsidRDefault="00DA509C" w:rsidP="0070415C">
      <w:pPr>
        <w:spacing w:after="240"/>
      </w:pPr>
      <w:r w:rsidRPr="005C3E35">
        <w:rPr>
          <w:color w:val="222222"/>
        </w:rPr>
        <w:t>Laws affecting</w:t>
      </w:r>
      <w:r>
        <w:rPr>
          <w:color w:val="222222"/>
        </w:rPr>
        <w:t xml:space="preserve"> the</w:t>
      </w:r>
      <w:r w:rsidRPr="005C3E35">
        <w:rPr>
          <w:color w:val="222222"/>
        </w:rPr>
        <w:t xml:space="preserve"> lesbian, gay, bisexual, </w:t>
      </w:r>
      <w:r w:rsidRPr="005C3E35">
        <w:t>transgender</w:t>
      </w:r>
      <w:r>
        <w:t xml:space="preserve"> and intersex </w:t>
      </w:r>
      <w:r w:rsidRPr="005C3E35">
        <w:t>(</w:t>
      </w:r>
      <w:hyperlink r:id="rId11" w:tooltip="LGBT" w:history="1">
        <w:r w:rsidRPr="005C3E35">
          <w:t>LGBT</w:t>
        </w:r>
      </w:hyperlink>
      <w:r>
        <w:t>QI</w:t>
      </w:r>
      <w:r w:rsidRPr="005C3E35">
        <w:t xml:space="preserve">) </w:t>
      </w:r>
      <w:r>
        <w:t xml:space="preserve">community </w:t>
      </w:r>
      <w:r w:rsidRPr="005C3E35">
        <w:t>vary greatly by country or territory; everything from the legal recognition of</w:t>
      </w:r>
      <w:r>
        <w:t xml:space="preserve"> </w:t>
      </w:r>
      <w:hyperlink r:id="rId12" w:tooltip="Same-sex marriage" w:history="1">
        <w:r w:rsidRPr="005C3E35">
          <w:t>same-sex marriage</w:t>
        </w:r>
      </w:hyperlink>
      <w:r>
        <w:t>,</w:t>
      </w:r>
      <w:r>
        <w:rPr>
          <w:rStyle w:val="FootnoteReference"/>
          <w:rFonts w:eastAsia="Times New Roman"/>
          <w:szCs w:val="24"/>
        </w:rPr>
        <w:footnoteReference w:id="32"/>
      </w:r>
      <w:r>
        <w:t xml:space="preserve"> </w:t>
      </w:r>
      <w:r w:rsidRPr="005C3E35">
        <w:t>to the</w:t>
      </w:r>
      <w:r>
        <w:t xml:space="preserve"> </w:t>
      </w:r>
      <w:hyperlink r:id="rId13" w:tooltip="Death penalty" w:history="1">
        <w:r w:rsidRPr="005C3E35">
          <w:t>death penalty</w:t>
        </w:r>
      </w:hyperlink>
      <w:r>
        <w:t xml:space="preserve"> </w:t>
      </w:r>
      <w:r w:rsidRPr="005C3E35">
        <w:t>as punishment for same-sex romantic/sexual activity or identity.</w:t>
      </w:r>
      <w:r>
        <w:rPr>
          <w:rStyle w:val="FootnoteReference"/>
          <w:rFonts w:eastAsia="Times New Roman"/>
          <w:szCs w:val="24"/>
        </w:rPr>
        <w:footnoteReference w:id="33"/>
      </w:r>
      <w:r w:rsidRPr="005C3E35">
        <w:t xml:space="preserve"> The </w:t>
      </w:r>
      <w:r>
        <w:t>P</w:t>
      </w:r>
      <w:r w:rsidRPr="005C3E35">
        <w:t xml:space="preserve">enal </w:t>
      </w:r>
      <w:r>
        <w:t>C</w:t>
      </w:r>
      <w:r w:rsidRPr="005C3E35">
        <w:t>ode</w:t>
      </w:r>
      <w:r>
        <w:t>,</w:t>
      </w:r>
      <w:r w:rsidRPr="005C3E35">
        <w:t xml:space="preserve"> C</w:t>
      </w:r>
      <w:r>
        <w:t>ap</w:t>
      </w:r>
      <w:r w:rsidRPr="005C3E35">
        <w:t xml:space="preserve"> 63 Laws of Kenya describes crimes and offences and punitive measures. Laws that affect LGBT</w:t>
      </w:r>
      <w:r>
        <w:t>Q</w:t>
      </w:r>
      <w:r w:rsidRPr="005C3E35">
        <w:t xml:space="preserve"> people</w:t>
      </w:r>
      <w:r w:rsidRPr="005C3E35">
        <w:rPr>
          <w:color w:val="222222"/>
        </w:rPr>
        <w:t xml:space="preserve"> include, but are not limited to, </w:t>
      </w:r>
      <w:r>
        <w:t>Sections 162 (a) (c)</w:t>
      </w:r>
      <w:r w:rsidR="009C7832">
        <w:t xml:space="preserve">; 163 </w:t>
      </w:r>
      <w:r>
        <w:t>and 165.</w:t>
      </w:r>
      <w:r>
        <w:rPr>
          <w:rStyle w:val="FootnoteReference"/>
          <w:szCs w:val="24"/>
        </w:rPr>
        <w:footnoteReference w:id="34"/>
      </w:r>
      <w:r w:rsidR="004C5A17">
        <w:t xml:space="preserve"> </w:t>
      </w:r>
    </w:p>
    <w:p w14:paraId="37A17089" w14:textId="3AE4159F" w:rsidR="000B6B78" w:rsidRDefault="000C09E9" w:rsidP="00596D3C">
      <w:r>
        <w:lastRenderedPageBreak/>
        <w:t>The Penal Code C</w:t>
      </w:r>
      <w:r w:rsidR="00FB5E77">
        <w:t>ap</w:t>
      </w:r>
      <w:r>
        <w:t xml:space="preserve"> 63 of the Laws of Kenya is an Act of Parliament that sets out to establish a code of criminal law</w:t>
      </w:r>
      <w:r w:rsidR="000B6B78">
        <w:t>.</w:t>
      </w:r>
      <w:r w:rsidR="0015526F">
        <w:t xml:space="preserve"> </w:t>
      </w:r>
      <w:r w:rsidR="004C5A17">
        <w:t>Since t</w:t>
      </w:r>
      <w:r w:rsidR="0015526F">
        <w:t>his paper is concerned with articles 162(a) &amp;(c), and 165</w:t>
      </w:r>
      <w:r w:rsidR="004C5A17">
        <w:t xml:space="preserve">, an </w:t>
      </w:r>
      <w:r w:rsidR="009C7832">
        <w:t>understanding</w:t>
      </w:r>
      <w:r w:rsidR="004C5A17">
        <w:t xml:space="preserve"> of its requirement is necessary</w:t>
      </w:r>
      <w:r w:rsidR="0015526F">
        <w:t xml:space="preserve">. </w:t>
      </w:r>
    </w:p>
    <w:p w14:paraId="03408948" w14:textId="77777777" w:rsidR="00AD0F72" w:rsidRDefault="00AD0F72" w:rsidP="00457A6C">
      <w:pPr>
        <w:spacing w:line="240" w:lineRule="auto"/>
      </w:pPr>
    </w:p>
    <w:p w14:paraId="476716B4" w14:textId="19CDB25E" w:rsidR="0015526F" w:rsidRPr="00916988" w:rsidRDefault="00AD0F72" w:rsidP="00596D3C">
      <w:pPr>
        <w:rPr>
          <w:rFonts w:cs="Times New Roman"/>
          <w:sz w:val="26"/>
          <w:szCs w:val="26"/>
          <w:lang w:eastAsia="en-GB"/>
        </w:rPr>
      </w:pPr>
      <w:r>
        <w:t>Article</w:t>
      </w:r>
      <w:r w:rsidR="0015526F">
        <w:t xml:space="preserve"> 162 defines u</w:t>
      </w:r>
      <w:r w:rsidR="0015526F" w:rsidRPr="00916988">
        <w:rPr>
          <w:rFonts w:cs="Times New Roman"/>
          <w:sz w:val="26"/>
          <w:szCs w:val="26"/>
          <w:lang w:eastAsia="en-GB"/>
        </w:rPr>
        <w:t>nnatural offences</w:t>
      </w:r>
      <w:r w:rsidR="0015526F">
        <w:rPr>
          <w:rFonts w:cs="Times New Roman"/>
          <w:sz w:val="26"/>
          <w:szCs w:val="26"/>
          <w:lang w:eastAsia="en-GB"/>
        </w:rPr>
        <w:t xml:space="preserve"> </w:t>
      </w:r>
      <w:r w:rsidR="00DE2626">
        <w:rPr>
          <w:rFonts w:cs="Times New Roman"/>
          <w:sz w:val="26"/>
          <w:szCs w:val="26"/>
          <w:lang w:eastAsia="en-GB"/>
        </w:rPr>
        <w:t>as</w:t>
      </w:r>
      <w:r w:rsidR="0015526F">
        <w:rPr>
          <w:rFonts w:cs="Times New Roman"/>
          <w:sz w:val="26"/>
          <w:szCs w:val="26"/>
          <w:lang w:eastAsia="en-GB"/>
        </w:rPr>
        <w:t>;</w:t>
      </w:r>
    </w:p>
    <w:p w14:paraId="58DED68C" w14:textId="478851C5" w:rsidR="0015526F" w:rsidRDefault="00DE2626" w:rsidP="00570C12">
      <w:pPr>
        <w:pStyle w:val="ListParagraph"/>
      </w:pPr>
      <w:r>
        <w:rPr>
          <w:rFonts w:eastAsiaTheme="minorHAnsi"/>
        </w:rPr>
        <w:t>a</w:t>
      </w:r>
      <w:r>
        <w:t xml:space="preserve"> person </w:t>
      </w:r>
      <w:r w:rsidR="0015526F">
        <w:t>ha</w:t>
      </w:r>
      <w:r>
        <w:t>ving</w:t>
      </w:r>
      <w:r w:rsidR="0015526F">
        <w:t xml:space="preserve"> carnal knowledge of any person against the order of nature; or</w:t>
      </w:r>
    </w:p>
    <w:p w14:paraId="77D9ACEC" w14:textId="77777777" w:rsidR="0015526F" w:rsidRDefault="00DE2626" w:rsidP="00570C12">
      <w:pPr>
        <w:pStyle w:val="ListParagraph"/>
      </w:pPr>
      <w:r>
        <w:t xml:space="preserve">a person having </w:t>
      </w:r>
      <w:r w:rsidR="0015526F">
        <w:t>carnal knowledge of an animal; or</w:t>
      </w:r>
    </w:p>
    <w:p w14:paraId="74CBC16F" w14:textId="77777777" w:rsidR="0015526F" w:rsidRDefault="0015526F" w:rsidP="00570C12">
      <w:pPr>
        <w:pStyle w:val="ListParagraph"/>
      </w:pPr>
      <w:r>
        <w:t>permit</w:t>
      </w:r>
      <w:r w:rsidR="00DE2626">
        <w:t xml:space="preserve">ting </w:t>
      </w:r>
      <w:r>
        <w:t>a male person to have carnal knowledge of him or her against the order of nature</w:t>
      </w:r>
      <w:r w:rsidR="00DE2626">
        <w:t>.</w:t>
      </w:r>
    </w:p>
    <w:p w14:paraId="47C8A826" w14:textId="77777777" w:rsidR="0015526F" w:rsidRPr="00682A96" w:rsidRDefault="00DE2626" w:rsidP="00596D3C">
      <w:r>
        <w:t xml:space="preserve">By engaging in these acts, one is </w:t>
      </w:r>
      <w:r w:rsidRPr="00682A96">
        <w:t>guilty</w:t>
      </w:r>
      <w:r w:rsidR="0015526F" w:rsidRPr="00682A96">
        <w:t xml:space="preserve"> of a felony and is liable to imprisonment for fourteen years:</w:t>
      </w:r>
    </w:p>
    <w:p w14:paraId="77E79823" w14:textId="77777777" w:rsidR="0015526F" w:rsidRDefault="0015526F" w:rsidP="00596D3C">
      <w:r w:rsidRPr="00682A96">
        <w:t>Provided that, in the case of an offence under paragraph (a), the offender shall be liable to imprisonment for twenty-one years if</w:t>
      </w:r>
      <w:r w:rsidR="00DE2626">
        <w:t>;</w:t>
      </w:r>
    </w:p>
    <w:p w14:paraId="0AC46ADB" w14:textId="77777777" w:rsidR="0015526F" w:rsidRDefault="0015526F" w:rsidP="00474B3E">
      <w:pPr>
        <w:pStyle w:val="ListParagraph"/>
        <w:numPr>
          <w:ilvl w:val="0"/>
          <w:numId w:val="30"/>
        </w:numPr>
      </w:pPr>
      <w:r>
        <w:t>the offence was committed without the consent of the person who was carnally known</w:t>
      </w:r>
      <w:r w:rsidR="00DE2626">
        <w:t>;</w:t>
      </w:r>
    </w:p>
    <w:p w14:paraId="2C441C04" w14:textId="77777777" w:rsidR="0015526F" w:rsidRDefault="0015526F" w:rsidP="00474B3E">
      <w:pPr>
        <w:pStyle w:val="ListParagraph"/>
        <w:numPr>
          <w:ilvl w:val="0"/>
          <w:numId w:val="30"/>
        </w:numPr>
      </w:pPr>
      <w:r w:rsidRPr="00682A96">
        <w:t>the offence was committed with that person’s consent but the consent was obtained by force or by means of threats or intimidation of some kind, or by fear of bodily harm, or by means of false representations as to the nature of the act.</w:t>
      </w:r>
      <w:r w:rsidR="008271E1">
        <w:rPr>
          <w:rStyle w:val="FootnoteReference"/>
        </w:rPr>
        <w:footnoteReference w:id="35"/>
      </w:r>
      <w:r w:rsidRPr="00682A96">
        <w:t xml:space="preserve"> </w:t>
      </w:r>
      <w:r w:rsidR="00DE2626">
        <w:t xml:space="preserve"> </w:t>
      </w:r>
    </w:p>
    <w:p w14:paraId="4BF391BB" w14:textId="69EA7F53" w:rsidR="006D7697" w:rsidRDefault="00DE2626" w:rsidP="00596D3C">
      <w:r>
        <w:t xml:space="preserve">Article </w:t>
      </w:r>
      <w:r w:rsidR="0015526F">
        <w:t>163</w:t>
      </w:r>
      <w:r>
        <w:t xml:space="preserve"> states that </w:t>
      </w:r>
      <w:r w:rsidR="009C7832">
        <w:t xml:space="preserve">if a person </w:t>
      </w:r>
      <w:r>
        <w:t>a</w:t>
      </w:r>
      <w:r w:rsidR="0015526F">
        <w:t>ttempt</w:t>
      </w:r>
      <w:r w:rsidR="008271E1">
        <w:t>s</w:t>
      </w:r>
      <w:r w:rsidR="0015526F">
        <w:t xml:space="preserve"> to commit unnatural </w:t>
      </w:r>
      <w:r w:rsidR="008271E1">
        <w:t xml:space="preserve">offences </w:t>
      </w:r>
      <w:r w:rsidR="008271E1" w:rsidRPr="00682A96">
        <w:t>specified</w:t>
      </w:r>
      <w:r w:rsidR="0015526F" w:rsidRPr="00682A96">
        <w:t xml:space="preserve"> in section 162 </w:t>
      </w:r>
      <w:r w:rsidR="001F669D">
        <w:t xml:space="preserve">they are </w:t>
      </w:r>
      <w:r w:rsidR="0015526F" w:rsidRPr="00682A96">
        <w:t>guilty of a felony and is liable to</w:t>
      </w:r>
      <w:r w:rsidR="0015526F">
        <w:t xml:space="preserve"> imprisonment for seven years.</w:t>
      </w:r>
      <w:r w:rsidR="008271E1">
        <w:rPr>
          <w:rStyle w:val="FootnoteReference"/>
        </w:rPr>
        <w:footnoteReference w:id="36"/>
      </w:r>
      <w:r w:rsidR="009D519E">
        <w:t xml:space="preserve"> </w:t>
      </w:r>
      <w:r w:rsidR="008271E1">
        <w:t xml:space="preserve">Article </w:t>
      </w:r>
      <w:r w:rsidR="0015526F">
        <w:t>165</w:t>
      </w:r>
      <w:r w:rsidR="008271E1">
        <w:t xml:space="preserve"> addresses i</w:t>
      </w:r>
      <w:r w:rsidR="0015526F">
        <w:t xml:space="preserve">ndecent practices between males. </w:t>
      </w:r>
      <w:r w:rsidR="008271E1">
        <w:t>It states that a</w:t>
      </w:r>
      <w:r w:rsidR="0015526F">
        <w:t>ny male person who, whether in public or private, commits any act of gross indecency with another male person, or procures another male person to commit any act of gross indecency with him, or attempt to procure the commission of any such act by any male person with himself or with another male person, whether in public or private, is guilty of a felony and is liable to imprisonment for five years.</w:t>
      </w:r>
      <w:r w:rsidR="008271E1">
        <w:rPr>
          <w:rStyle w:val="FootnoteReference"/>
        </w:rPr>
        <w:footnoteReference w:id="37"/>
      </w:r>
      <w:r w:rsidR="009D519E">
        <w:t xml:space="preserve"> </w:t>
      </w:r>
      <w:r w:rsidR="001E1622">
        <w:t xml:space="preserve">The wording of Section </w:t>
      </w:r>
      <w:r w:rsidR="003977E4" w:rsidRPr="001E1622">
        <w:t>162 (a) and (c</w:t>
      </w:r>
      <w:r w:rsidR="001E1622" w:rsidRPr="001E1622">
        <w:t>)</w:t>
      </w:r>
      <w:r w:rsidR="001E1622">
        <w:t xml:space="preserve"> </w:t>
      </w:r>
      <w:r w:rsidR="001E1622" w:rsidRPr="001E1622">
        <w:t>‘carnal</w:t>
      </w:r>
      <w:r w:rsidR="00FB5E77">
        <w:t xml:space="preserve"> </w:t>
      </w:r>
      <w:r w:rsidR="003977E4" w:rsidRPr="001E1622">
        <w:t xml:space="preserve">knowledge against the order of nature’ </w:t>
      </w:r>
      <w:r w:rsidR="001E1622">
        <w:t>is read to mean</w:t>
      </w:r>
      <w:r w:rsidR="001E1622" w:rsidRPr="005C3E35">
        <w:t xml:space="preserve"> any</w:t>
      </w:r>
      <w:r w:rsidR="003977E4" w:rsidRPr="005C3E35">
        <w:t xml:space="preserve"> sexual activity between two or more persons that does not </w:t>
      </w:r>
      <w:r w:rsidR="003977E4" w:rsidRPr="005C3E35">
        <w:lastRenderedPageBreak/>
        <w:t>involve the penis penetrating the vagina. This includes anal sex, oral sex,</w:t>
      </w:r>
      <w:r w:rsidR="008850CA">
        <w:rPr>
          <w:rStyle w:val="FootnoteReference"/>
        </w:rPr>
        <w:footnoteReference w:id="38"/>
      </w:r>
      <w:r w:rsidR="00FB5E77">
        <w:t xml:space="preserve"> </w:t>
      </w:r>
      <w:r w:rsidR="003977E4" w:rsidRPr="005C3E35">
        <w:t>frottage,</w:t>
      </w:r>
      <w:r w:rsidR="00DF7ABC">
        <w:rPr>
          <w:rStyle w:val="FootnoteReference"/>
          <w:szCs w:val="24"/>
        </w:rPr>
        <w:footnoteReference w:id="39"/>
      </w:r>
      <w:r w:rsidR="003977E4" w:rsidRPr="005C3E35">
        <w:t xml:space="preserve"> thig</w:t>
      </w:r>
      <w:r w:rsidR="00DF7ABC">
        <w:t>h sex, hand-jobs, and</w:t>
      </w:r>
      <w:r w:rsidR="00FB5E77">
        <w:t xml:space="preserve"> </w:t>
      </w:r>
      <w:r w:rsidR="00DF7ABC">
        <w:t>anilingus.</w:t>
      </w:r>
      <w:r w:rsidR="00DF7ABC">
        <w:rPr>
          <w:rStyle w:val="FootnoteReference"/>
          <w:szCs w:val="24"/>
        </w:rPr>
        <w:footnoteReference w:id="40"/>
      </w:r>
      <w:r w:rsidR="009D519E">
        <w:t xml:space="preserve"> </w:t>
      </w:r>
      <w:r w:rsidR="001E1622">
        <w:t xml:space="preserve">By extension, the said Section </w:t>
      </w:r>
      <w:r w:rsidR="003977E4" w:rsidRPr="005C3E35">
        <w:t xml:space="preserve">makes it an offence for both </w:t>
      </w:r>
      <w:r w:rsidR="001F669D">
        <w:t>homosexual and heterosexual couples</w:t>
      </w:r>
      <w:r w:rsidR="003977E4" w:rsidRPr="005C3E35">
        <w:t xml:space="preserve"> to participate in the sexual activities</w:t>
      </w:r>
      <w:r w:rsidR="00FB5E77">
        <w:t xml:space="preserve"> </w:t>
      </w:r>
      <w:r w:rsidR="003977E4" w:rsidRPr="005C3E35">
        <w:t>described above. Sections 162 (a</w:t>
      </w:r>
      <w:r w:rsidR="007F698E">
        <w:t xml:space="preserve"> &amp; c</w:t>
      </w:r>
      <w:r w:rsidR="007F698E" w:rsidRPr="005C3E35">
        <w:t xml:space="preserve">) </w:t>
      </w:r>
      <w:r w:rsidR="007F698E">
        <w:t>and</w:t>
      </w:r>
      <w:r w:rsidR="00290248">
        <w:t xml:space="preserve"> 165 of the Penal Code ought to apply to</w:t>
      </w:r>
      <w:r w:rsidR="003977E4" w:rsidRPr="005C3E35">
        <w:t xml:space="preserve"> all Kenyans regardless </w:t>
      </w:r>
      <w:r w:rsidR="007E6A1A" w:rsidRPr="005C3E35">
        <w:t xml:space="preserve">of </w:t>
      </w:r>
      <w:r w:rsidR="007E6A1A">
        <w:t>who</w:t>
      </w:r>
      <w:r w:rsidR="003977E4" w:rsidRPr="005C3E35">
        <w:t xml:space="preserve"> they have sex with. However, </w:t>
      </w:r>
      <w:r w:rsidR="00290248">
        <w:t xml:space="preserve">it </w:t>
      </w:r>
      <w:r w:rsidR="007B743F">
        <w:t xml:space="preserve">is </w:t>
      </w:r>
      <w:r w:rsidR="00290248">
        <w:t xml:space="preserve">curious that </w:t>
      </w:r>
      <w:r w:rsidR="003977E4" w:rsidRPr="005C3E35">
        <w:t>these laws affect Kenyans differently depending on their sexual</w:t>
      </w:r>
      <w:r w:rsidR="00FB5E77">
        <w:t xml:space="preserve"> </w:t>
      </w:r>
      <w:r w:rsidR="003977E4" w:rsidRPr="005C3E35">
        <w:t>orientation, gender identity and expression. For example, although Section 162 (a</w:t>
      </w:r>
      <w:r w:rsidR="007F698E">
        <w:t xml:space="preserve"> &amp; c</w:t>
      </w:r>
      <w:r w:rsidR="003977E4" w:rsidRPr="005C3E35">
        <w:t>) makes it a crime to have ‘carnal</w:t>
      </w:r>
      <w:r w:rsidR="00FB5E77">
        <w:t xml:space="preserve"> </w:t>
      </w:r>
      <w:r w:rsidR="003977E4" w:rsidRPr="005C3E35">
        <w:t>knowledge against the order of nature,’ regardless who a person</w:t>
      </w:r>
      <w:r w:rsidR="00FB5E77">
        <w:t xml:space="preserve"> </w:t>
      </w:r>
      <w:r w:rsidR="003977E4" w:rsidRPr="005C3E35">
        <w:t>has sex with, it has only been applied to cases where two adults of the same sex have agreed to have sex with each other in private</w:t>
      </w:r>
      <w:r w:rsidR="00290248">
        <w:t>. Article 31 of the Constitution Kenya 2010 holds that ‘every person has the right to privacy which includes the right not to have:</w:t>
      </w:r>
    </w:p>
    <w:p w14:paraId="5A2A8953" w14:textId="77777777" w:rsidR="00CF471E" w:rsidRDefault="006D7697" w:rsidP="00474B3E">
      <w:pPr>
        <w:pStyle w:val="ListParagraph"/>
        <w:numPr>
          <w:ilvl w:val="0"/>
          <w:numId w:val="31"/>
        </w:numPr>
      </w:pPr>
      <w:r>
        <w:t xml:space="preserve">their </w:t>
      </w:r>
      <w:r w:rsidR="00290248" w:rsidRPr="00290248">
        <w:t>person or property searched;</w:t>
      </w:r>
      <w:r w:rsidR="00290248">
        <w:rPr>
          <w:rStyle w:val="FootnoteReference"/>
          <w:szCs w:val="24"/>
        </w:rPr>
        <w:footnoteReference w:id="41"/>
      </w:r>
    </w:p>
    <w:p w14:paraId="2CE31F8D" w14:textId="77777777" w:rsidR="00290248" w:rsidRPr="00290248" w:rsidRDefault="006D7697" w:rsidP="00474B3E">
      <w:pPr>
        <w:pStyle w:val="ListParagraph"/>
        <w:numPr>
          <w:ilvl w:val="0"/>
          <w:numId w:val="31"/>
        </w:numPr>
      </w:pPr>
      <w:r>
        <w:t xml:space="preserve">their </w:t>
      </w:r>
      <w:r w:rsidR="00290248" w:rsidRPr="00290248">
        <w:t>possessions seized</w:t>
      </w:r>
      <w:r w:rsidR="007F698E">
        <w:t>;</w:t>
      </w:r>
      <w:r w:rsidR="00290248">
        <w:rPr>
          <w:rStyle w:val="FootnoteReference"/>
          <w:szCs w:val="24"/>
        </w:rPr>
        <w:footnoteReference w:id="42"/>
      </w:r>
    </w:p>
    <w:p w14:paraId="203E3B5E" w14:textId="77777777" w:rsidR="00290248" w:rsidRDefault="006D7697" w:rsidP="00474B3E">
      <w:pPr>
        <w:pStyle w:val="ListParagraph"/>
        <w:numPr>
          <w:ilvl w:val="0"/>
          <w:numId w:val="31"/>
        </w:numPr>
      </w:pPr>
      <w:r>
        <w:t>i</w:t>
      </w:r>
      <w:r w:rsidR="00290248" w:rsidRPr="00290248">
        <w:t>nformation relating to their family or private affairs required or revealed</w:t>
      </w:r>
      <w:r w:rsidR="007F698E">
        <w:t>;</w:t>
      </w:r>
      <w:r w:rsidR="00290248">
        <w:rPr>
          <w:rStyle w:val="FootnoteReference"/>
          <w:szCs w:val="24"/>
        </w:rPr>
        <w:footnoteReference w:id="43"/>
      </w:r>
      <w:r w:rsidR="00290248" w:rsidRPr="00290248">
        <w:t xml:space="preserve"> or</w:t>
      </w:r>
      <w:r w:rsidR="007F698E">
        <w:t>,</w:t>
      </w:r>
    </w:p>
    <w:p w14:paraId="0E784225" w14:textId="77777777" w:rsidR="00290248" w:rsidRPr="00290248" w:rsidRDefault="006D7697" w:rsidP="00474B3E">
      <w:pPr>
        <w:pStyle w:val="ListParagraph"/>
        <w:numPr>
          <w:ilvl w:val="0"/>
          <w:numId w:val="31"/>
        </w:numPr>
      </w:pPr>
      <w:r>
        <w:t>t</w:t>
      </w:r>
      <w:r w:rsidR="00290248" w:rsidRPr="00290248">
        <w:t>he privacy of their communication infringed</w:t>
      </w:r>
      <w:r w:rsidR="007F698E">
        <w:t>.</w:t>
      </w:r>
      <w:r w:rsidR="00290248">
        <w:rPr>
          <w:rStyle w:val="FootnoteReference"/>
          <w:szCs w:val="24"/>
        </w:rPr>
        <w:footnoteReference w:id="44"/>
      </w:r>
    </w:p>
    <w:p w14:paraId="368E3360" w14:textId="2250A0D5" w:rsidR="00BB4046" w:rsidRPr="00596D3C" w:rsidRDefault="007E6A1A" w:rsidP="00570C12">
      <w:pPr>
        <w:spacing w:after="240"/>
      </w:pPr>
      <w:r>
        <w:rPr>
          <w:szCs w:val="24"/>
        </w:rPr>
        <w:t>However, a</w:t>
      </w:r>
      <w:r w:rsidR="00474B3E">
        <w:rPr>
          <w:szCs w:val="24"/>
        </w:rPr>
        <w:t xml:space="preserve"> few q</w:t>
      </w:r>
      <w:r w:rsidR="00290248">
        <w:rPr>
          <w:szCs w:val="24"/>
        </w:rPr>
        <w:t>uestions may arise</w:t>
      </w:r>
      <w:r w:rsidR="00474B3E">
        <w:rPr>
          <w:szCs w:val="24"/>
        </w:rPr>
        <w:t>, including but limited to</w:t>
      </w:r>
      <w:r w:rsidR="00290248">
        <w:rPr>
          <w:szCs w:val="24"/>
        </w:rPr>
        <w:t xml:space="preserve">: how is it possible that the privacy of individuals suspected to be of a different sexual orientation </w:t>
      </w:r>
      <w:r>
        <w:rPr>
          <w:szCs w:val="24"/>
        </w:rPr>
        <w:t xml:space="preserve">can be </w:t>
      </w:r>
      <w:r w:rsidR="00290248">
        <w:rPr>
          <w:szCs w:val="24"/>
        </w:rPr>
        <w:t xml:space="preserve">violated just because they are different? Does Kenya </w:t>
      </w:r>
      <w:r>
        <w:rPr>
          <w:szCs w:val="24"/>
        </w:rPr>
        <w:t xml:space="preserve">apply </w:t>
      </w:r>
      <w:r w:rsidR="00290248">
        <w:rPr>
          <w:szCs w:val="24"/>
        </w:rPr>
        <w:t xml:space="preserve">two sets of laws: one, for those who are in agreement with what is claimed to </w:t>
      </w:r>
      <w:r w:rsidR="008757E9">
        <w:rPr>
          <w:szCs w:val="24"/>
        </w:rPr>
        <w:t>be</w:t>
      </w:r>
      <w:r w:rsidR="00290248">
        <w:rPr>
          <w:szCs w:val="24"/>
        </w:rPr>
        <w:t xml:space="preserve"> African culture, and another for those who</w:t>
      </w:r>
      <w:r w:rsidR="008757E9">
        <w:rPr>
          <w:szCs w:val="24"/>
        </w:rPr>
        <w:t xml:space="preserve"> wish</w:t>
      </w:r>
      <w:r w:rsidR="00290248">
        <w:rPr>
          <w:szCs w:val="24"/>
        </w:rPr>
        <w:t xml:space="preserve"> to have </w:t>
      </w:r>
      <w:r>
        <w:rPr>
          <w:szCs w:val="24"/>
        </w:rPr>
        <w:t xml:space="preserve">expression </w:t>
      </w:r>
      <w:r w:rsidR="00290248">
        <w:rPr>
          <w:szCs w:val="24"/>
        </w:rPr>
        <w:t xml:space="preserve">outside this African culture? </w:t>
      </w:r>
      <w:r w:rsidR="008757E9">
        <w:rPr>
          <w:szCs w:val="24"/>
        </w:rPr>
        <w:t>What happens to the application of the law in which ‘[e]</w:t>
      </w:r>
      <w:r w:rsidR="008757E9" w:rsidRPr="00A905FD">
        <w:rPr>
          <w:rFonts w:cs="Times New Roman"/>
          <w:szCs w:val="24"/>
        </w:rPr>
        <w:t>very person is equal before the law and has the right to equal protection and equal benefit of the law</w:t>
      </w:r>
      <w:r w:rsidR="008757E9">
        <w:rPr>
          <w:rFonts w:cs="Times New Roman"/>
          <w:szCs w:val="24"/>
        </w:rPr>
        <w:t xml:space="preserve"> where e</w:t>
      </w:r>
      <w:r w:rsidR="008757E9" w:rsidRPr="00A905FD">
        <w:rPr>
          <w:rFonts w:cs="Times New Roman"/>
          <w:szCs w:val="24"/>
        </w:rPr>
        <w:t>quality includes the full and equal enjoyment of all rights and fundamental freedoms</w:t>
      </w:r>
      <w:r w:rsidR="008757E9">
        <w:rPr>
          <w:rFonts w:cs="Times New Roman"/>
          <w:szCs w:val="24"/>
        </w:rPr>
        <w:t>?</w:t>
      </w:r>
      <w:r w:rsidR="008757E9">
        <w:rPr>
          <w:rStyle w:val="FootnoteReference"/>
          <w:szCs w:val="24"/>
        </w:rPr>
        <w:footnoteReference w:id="45"/>
      </w:r>
      <w:r w:rsidR="008C1C7C">
        <w:rPr>
          <w:rFonts w:cs="Times New Roman"/>
          <w:szCs w:val="24"/>
        </w:rPr>
        <w:t xml:space="preserve"> </w:t>
      </w:r>
      <w:r w:rsidR="008C1C7C">
        <w:rPr>
          <w:rFonts w:cs="Times New Roman"/>
          <w:szCs w:val="24"/>
        </w:rPr>
        <w:lastRenderedPageBreak/>
        <w:t xml:space="preserve">The </w:t>
      </w:r>
      <w:r>
        <w:rPr>
          <w:rFonts w:cs="Times New Roman"/>
          <w:szCs w:val="24"/>
        </w:rPr>
        <w:t xml:space="preserve">article is written </w:t>
      </w:r>
      <w:r w:rsidR="00F63B4D">
        <w:rPr>
          <w:rFonts w:cs="Times New Roman"/>
          <w:szCs w:val="24"/>
        </w:rPr>
        <w:t xml:space="preserve">in </w:t>
      </w:r>
      <w:r>
        <w:rPr>
          <w:rFonts w:cs="Times New Roman"/>
          <w:szCs w:val="24"/>
        </w:rPr>
        <w:t>the</w:t>
      </w:r>
      <w:r w:rsidR="008C1C7C">
        <w:rPr>
          <w:rFonts w:cs="Times New Roman"/>
          <w:szCs w:val="24"/>
        </w:rPr>
        <w:t xml:space="preserve"> </w:t>
      </w:r>
      <w:r>
        <w:rPr>
          <w:rFonts w:cs="Times New Roman"/>
          <w:szCs w:val="24"/>
        </w:rPr>
        <w:t xml:space="preserve">knowledge of </w:t>
      </w:r>
      <w:r w:rsidR="00EE03E9">
        <w:rPr>
          <w:rFonts w:cs="Times New Roman"/>
          <w:szCs w:val="24"/>
        </w:rPr>
        <w:t xml:space="preserve">an </w:t>
      </w:r>
      <w:r w:rsidR="00F63B4D">
        <w:rPr>
          <w:rFonts w:cs="Times New Roman"/>
          <w:szCs w:val="24"/>
        </w:rPr>
        <w:t xml:space="preserve">existing </w:t>
      </w:r>
      <w:r w:rsidR="00EE03E9">
        <w:rPr>
          <w:rFonts w:cs="Times New Roman"/>
          <w:szCs w:val="24"/>
        </w:rPr>
        <w:t xml:space="preserve">debate </w:t>
      </w:r>
      <w:r w:rsidR="00F63B4D">
        <w:rPr>
          <w:rFonts w:cs="Times New Roman"/>
          <w:szCs w:val="24"/>
        </w:rPr>
        <w:t>regarding</w:t>
      </w:r>
      <w:r>
        <w:rPr>
          <w:rFonts w:cs="Times New Roman"/>
          <w:szCs w:val="24"/>
        </w:rPr>
        <w:t xml:space="preserve"> </w:t>
      </w:r>
      <w:r w:rsidR="008C1C7C">
        <w:rPr>
          <w:rFonts w:cs="Times New Roman"/>
          <w:szCs w:val="24"/>
        </w:rPr>
        <w:t>whether there is a substanti</w:t>
      </w:r>
      <w:r>
        <w:rPr>
          <w:rFonts w:cs="Times New Roman"/>
          <w:szCs w:val="24"/>
        </w:rPr>
        <w:t xml:space="preserve">al </w:t>
      </w:r>
      <w:r w:rsidR="008C1C7C">
        <w:rPr>
          <w:rFonts w:cs="Times New Roman"/>
          <w:szCs w:val="24"/>
        </w:rPr>
        <w:t xml:space="preserve">distinction between law and morality. </w:t>
      </w:r>
      <w:r w:rsidR="00713750">
        <w:rPr>
          <w:rFonts w:cs="Times New Roman"/>
          <w:szCs w:val="24"/>
        </w:rPr>
        <w:t xml:space="preserve">The first </w:t>
      </w:r>
      <w:r>
        <w:rPr>
          <w:rFonts w:cs="Times New Roman"/>
          <w:szCs w:val="24"/>
        </w:rPr>
        <w:t xml:space="preserve">holds </w:t>
      </w:r>
      <w:r w:rsidR="00713750">
        <w:rPr>
          <w:rFonts w:cs="Times New Roman"/>
          <w:szCs w:val="24"/>
        </w:rPr>
        <w:t>t</w:t>
      </w:r>
      <w:r w:rsidR="008C1C7C">
        <w:rPr>
          <w:rFonts w:cs="Times New Roman"/>
          <w:szCs w:val="24"/>
        </w:rPr>
        <w:t>hat all law is based on morality</w:t>
      </w:r>
      <w:r w:rsidR="00F63B4D">
        <w:rPr>
          <w:rFonts w:cs="Times New Roman"/>
          <w:szCs w:val="24"/>
        </w:rPr>
        <w:t xml:space="preserve"> and the </w:t>
      </w:r>
      <w:r w:rsidR="008C1C7C">
        <w:rPr>
          <w:rFonts w:cs="Times New Roman"/>
          <w:szCs w:val="24"/>
        </w:rPr>
        <w:t xml:space="preserve">second </w:t>
      </w:r>
      <w:r>
        <w:rPr>
          <w:rFonts w:cs="Times New Roman"/>
          <w:szCs w:val="24"/>
        </w:rPr>
        <w:t xml:space="preserve">that </w:t>
      </w:r>
      <w:r w:rsidR="008C1C7C">
        <w:rPr>
          <w:rFonts w:cs="Times New Roman"/>
          <w:szCs w:val="24"/>
        </w:rPr>
        <w:t xml:space="preserve">there areas of overlap </w:t>
      </w:r>
      <w:r w:rsidR="00BB4046">
        <w:rPr>
          <w:rFonts w:cs="Times New Roman"/>
          <w:szCs w:val="24"/>
        </w:rPr>
        <w:t>between</w:t>
      </w:r>
      <w:r w:rsidR="008C1C7C">
        <w:rPr>
          <w:rFonts w:cs="Times New Roman"/>
          <w:szCs w:val="24"/>
        </w:rPr>
        <w:t xml:space="preserve"> the two.</w:t>
      </w:r>
      <w:r w:rsidR="003E3A1F">
        <w:rPr>
          <w:rStyle w:val="FootnoteReference"/>
          <w:szCs w:val="24"/>
        </w:rPr>
        <w:footnoteReference w:id="46"/>
      </w:r>
      <w:r w:rsidR="008C1C7C">
        <w:rPr>
          <w:rFonts w:cs="Times New Roman"/>
          <w:szCs w:val="24"/>
        </w:rPr>
        <w:t xml:space="preserve"> </w:t>
      </w:r>
      <w:r w:rsidR="00F63B4D">
        <w:rPr>
          <w:rFonts w:cs="Times New Roman"/>
          <w:szCs w:val="24"/>
        </w:rPr>
        <w:t xml:space="preserve">The article </w:t>
      </w:r>
      <w:r w:rsidR="00BB4046">
        <w:rPr>
          <w:rFonts w:cs="Times New Roman"/>
          <w:szCs w:val="24"/>
        </w:rPr>
        <w:t>adopt</w:t>
      </w:r>
      <w:r w:rsidR="00F63B4D">
        <w:rPr>
          <w:rFonts w:cs="Times New Roman"/>
          <w:szCs w:val="24"/>
        </w:rPr>
        <w:t>s</w:t>
      </w:r>
      <w:r w:rsidR="00BB4046">
        <w:rPr>
          <w:rFonts w:cs="Times New Roman"/>
          <w:szCs w:val="24"/>
        </w:rPr>
        <w:t xml:space="preserve"> </w:t>
      </w:r>
      <w:r w:rsidR="00F63B4D">
        <w:rPr>
          <w:rFonts w:cs="Times New Roman"/>
          <w:szCs w:val="24"/>
        </w:rPr>
        <w:t xml:space="preserve">the </w:t>
      </w:r>
      <w:r w:rsidR="00BB4046">
        <w:rPr>
          <w:rFonts w:cs="Times New Roman"/>
          <w:szCs w:val="24"/>
        </w:rPr>
        <w:t xml:space="preserve">position which appeal to language </w:t>
      </w:r>
      <w:r w:rsidR="00F63B4D">
        <w:rPr>
          <w:rFonts w:cs="Times New Roman"/>
          <w:szCs w:val="24"/>
        </w:rPr>
        <w:t xml:space="preserve">and </w:t>
      </w:r>
      <w:r w:rsidR="00BB4046">
        <w:rPr>
          <w:rFonts w:cs="Times New Roman"/>
          <w:szCs w:val="24"/>
        </w:rPr>
        <w:t xml:space="preserve">would present the best distinction </w:t>
      </w:r>
      <w:r w:rsidR="00F63B4D">
        <w:rPr>
          <w:rFonts w:cs="Times New Roman"/>
          <w:szCs w:val="24"/>
        </w:rPr>
        <w:t xml:space="preserve">as to </w:t>
      </w:r>
      <w:r w:rsidR="00BB4046">
        <w:rPr>
          <w:rFonts w:cs="Times New Roman"/>
          <w:szCs w:val="24"/>
        </w:rPr>
        <w:t xml:space="preserve">what is legal and what is moral. Much of the </w:t>
      </w:r>
      <w:r w:rsidR="00BB4046" w:rsidRPr="004D66BA">
        <w:rPr>
          <w:rFonts w:cs="Times New Roman"/>
          <w:szCs w:val="24"/>
        </w:rPr>
        <w:t xml:space="preserve">legal </w:t>
      </w:r>
      <w:r w:rsidR="00F63B4D">
        <w:rPr>
          <w:rFonts w:cs="Times New Roman"/>
          <w:szCs w:val="24"/>
        </w:rPr>
        <w:t>pron</w:t>
      </w:r>
      <w:r w:rsidR="00F63B4D" w:rsidRPr="004D66BA">
        <w:rPr>
          <w:rFonts w:cs="Times New Roman"/>
          <w:szCs w:val="24"/>
        </w:rPr>
        <w:t>ouncements</w:t>
      </w:r>
      <w:r w:rsidR="00BB4046" w:rsidRPr="004D66BA">
        <w:rPr>
          <w:rFonts w:cs="Times New Roman"/>
          <w:szCs w:val="24"/>
        </w:rPr>
        <w:t xml:space="preserve"> are cou</w:t>
      </w:r>
      <w:r w:rsidR="00BB4046">
        <w:rPr>
          <w:rFonts w:cs="Times New Roman"/>
          <w:szCs w:val="24"/>
        </w:rPr>
        <w:t>c</w:t>
      </w:r>
      <w:r w:rsidR="00BB4046" w:rsidRPr="004D66BA">
        <w:rPr>
          <w:rFonts w:cs="Times New Roman"/>
          <w:szCs w:val="24"/>
        </w:rPr>
        <w:t xml:space="preserve">hed </w:t>
      </w:r>
      <w:r w:rsidR="00BB4046">
        <w:rPr>
          <w:rFonts w:cs="Times New Roman"/>
          <w:szCs w:val="24"/>
        </w:rPr>
        <w:t xml:space="preserve">in a language of </w:t>
      </w:r>
      <w:r w:rsidR="00BB4046" w:rsidRPr="004D66BA">
        <w:rPr>
          <w:rFonts w:cs="Times New Roman"/>
          <w:szCs w:val="24"/>
        </w:rPr>
        <w:t xml:space="preserve">commands while that of morality seeks to appeal to what ought to be right hence </w:t>
      </w:r>
      <w:r w:rsidR="00F63B4D" w:rsidRPr="004D66BA">
        <w:rPr>
          <w:rFonts w:cs="Times New Roman"/>
          <w:szCs w:val="24"/>
        </w:rPr>
        <w:t>appeal</w:t>
      </w:r>
      <w:r w:rsidR="00F63B4D">
        <w:rPr>
          <w:rFonts w:cs="Times New Roman"/>
          <w:szCs w:val="24"/>
        </w:rPr>
        <w:t xml:space="preserve">ing </w:t>
      </w:r>
      <w:r w:rsidR="00BB4046" w:rsidRPr="004D66BA">
        <w:rPr>
          <w:rFonts w:cs="Times New Roman"/>
          <w:szCs w:val="24"/>
        </w:rPr>
        <w:t xml:space="preserve">to reason. </w:t>
      </w:r>
      <w:r w:rsidR="006D15F9">
        <w:rPr>
          <w:rFonts w:cs="Times New Roman"/>
          <w:szCs w:val="24"/>
        </w:rPr>
        <w:t xml:space="preserve">Immanuel Kant’s categorical imperative </w:t>
      </w:r>
      <w:r w:rsidR="006D15F9" w:rsidRPr="004D66BA">
        <w:rPr>
          <w:rFonts w:cs="Times New Roman"/>
          <w:szCs w:val="24"/>
        </w:rPr>
        <w:t>would be a case in point</w:t>
      </w:r>
      <w:r w:rsidR="006D15F9">
        <w:rPr>
          <w:rFonts w:cs="Times New Roman"/>
          <w:szCs w:val="24"/>
        </w:rPr>
        <w:t xml:space="preserve">. </w:t>
      </w:r>
      <w:r w:rsidR="006D15F9" w:rsidRPr="004D66BA">
        <w:rPr>
          <w:rFonts w:cs="Times New Roman"/>
          <w:szCs w:val="24"/>
        </w:rPr>
        <w:t>Kant</w:t>
      </w:r>
      <w:r w:rsidR="006D15F9">
        <w:rPr>
          <w:rFonts w:cs="Times New Roman"/>
          <w:szCs w:val="24"/>
        </w:rPr>
        <w:t xml:space="preserve">’s </w:t>
      </w:r>
      <w:r w:rsidR="006D15F9" w:rsidRPr="004D66BA">
        <w:rPr>
          <w:rFonts w:cs="Times New Roman"/>
          <w:szCs w:val="24"/>
        </w:rPr>
        <w:t xml:space="preserve">categorical imperatives </w:t>
      </w:r>
      <w:r w:rsidR="006D15F9">
        <w:rPr>
          <w:rFonts w:cs="Times New Roman"/>
          <w:szCs w:val="24"/>
        </w:rPr>
        <w:t xml:space="preserve">is based on an absolute prescription to which </w:t>
      </w:r>
      <w:r w:rsidR="006D15F9" w:rsidRPr="004D66BA">
        <w:rPr>
          <w:rFonts w:cs="Times New Roman"/>
          <w:szCs w:val="24"/>
        </w:rPr>
        <w:t>all persons must follow, regardless of their desires or extenuating circumstances</w:t>
      </w:r>
      <w:r w:rsidR="000B20BC">
        <w:rPr>
          <w:rFonts w:cs="Times New Roman"/>
          <w:szCs w:val="24"/>
        </w:rPr>
        <w:t>. He advises</w:t>
      </w:r>
      <w:r w:rsidR="00713750">
        <w:rPr>
          <w:rFonts w:cs="Times New Roman"/>
          <w:szCs w:val="24"/>
        </w:rPr>
        <w:t xml:space="preserve"> that one should act</w:t>
      </w:r>
      <w:r w:rsidR="00BB4046" w:rsidRPr="004D66BA">
        <w:rPr>
          <w:rFonts w:cs="Times New Roman"/>
          <w:szCs w:val="24"/>
        </w:rPr>
        <w:t xml:space="preserve"> only on a maxim that </w:t>
      </w:r>
      <w:r w:rsidR="00713750">
        <w:rPr>
          <w:rFonts w:cs="Times New Roman"/>
          <w:szCs w:val="24"/>
        </w:rPr>
        <w:t xml:space="preserve">one would wish is made </w:t>
      </w:r>
      <w:r w:rsidR="00BB4046" w:rsidRPr="004D66BA">
        <w:rPr>
          <w:rFonts w:cs="Times New Roman"/>
          <w:szCs w:val="24"/>
        </w:rPr>
        <w:t xml:space="preserve">universal law. As morals, </w:t>
      </w:r>
      <w:r w:rsidR="00BB4046" w:rsidRPr="00596D3C">
        <w:t>these imperatives are binding on everyone. This makes the language of morality a prescriptive one.</w:t>
      </w:r>
      <w:r w:rsidR="00BB4046" w:rsidRPr="00570C12">
        <w:rPr>
          <w:vertAlign w:val="superscript"/>
        </w:rPr>
        <w:footnoteReference w:id="47"/>
      </w:r>
      <w:r w:rsidR="00BB4046" w:rsidRPr="00570C12">
        <w:rPr>
          <w:vertAlign w:val="superscript"/>
        </w:rPr>
        <w:t xml:space="preserve"> </w:t>
      </w:r>
    </w:p>
    <w:p w14:paraId="0855AA9E" w14:textId="6F9A29E7" w:rsidR="00F76877" w:rsidRDefault="00DA509C" w:rsidP="008E4D64">
      <w:pPr>
        <w:spacing w:after="240"/>
        <w:rPr>
          <w:rFonts w:cs="Times New Roman"/>
          <w:szCs w:val="24"/>
        </w:rPr>
      </w:pPr>
      <w:r w:rsidRPr="00F76877">
        <w:rPr>
          <w:color w:val="000000" w:themeColor="text1"/>
          <w:szCs w:val="24"/>
        </w:rPr>
        <w:t xml:space="preserve">It is this prescriptive sense </w:t>
      </w:r>
      <w:r w:rsidR="00713750">
        <w:rPr>
          <w:color w:val="000000" w:themeColor="text1"/>
          <w:szCs w:val="24"/>
        </w:rPr>
        <w:t xml:space="preserve">found in Kant’s categorical imperative </w:t>
      </w:r>
      <w:r w:rsidRPr="00F76877">
        <w:rPr>
          <w:color w:val="000000" w:themeColor="text1"/>
          <w:szCs w:val="24"/>
        </w:rPr>
        <w:t xml:space="preserve">that the language of human rights has adopted. </w:t>
      </w:r>
      <w:r w:rsidR="00713750">
        <w:rPr>
          <w:color w:val="000000" w:themeColor="text1"/>
          <w:szCs w:val="24"/>
        </w:rPr>
        <w:t>Notably, the h</w:t>
      </w:r>
      <w:r w:rsidRPr="00F76877">
        <w:rPr>
          <w:color w:val="000000" w:themeColor="text1"/>
          <w:szCs w:val="24"/>
        </w:rPr>
        <w:t>uman rights language prescribes what others ought to do or refrain from doing</w:t>
      </w:r>
      <w:r w:rsidR="00713750">
        <w:rPr>
          <w:color w:val="000000" w:themeColor="text1"/>
          <w:szCs w:val="24"/>
        </w:rPr>
        <w:t>,</w:t>
      </w:r>
      <w:r w:rsidRPr="00F76877">
        <w:rPr>
          <w:color w:val="000000" w:themeColor="text1"/>
          <w:szCs w:val="24"/>
        </w:rPr>
        <w:t xml:space="preserve"> so that every individual enjoys their human rights</w:t>
      </w:r>
      <w:r w:rsidR="00713750">
        <w:rPr>
          <w:color w:val="000000" w:themeColor="text1"/>
          <w:szCs w:val="24"/>
        </w:rPr>
        <w:t xml:space="preserve"> as human beings</w:t>
      </w:r>
      <w:r w:rsidRPr="00F76877">
        <w:rPr>
          <w:color w:val="000000" w:themeColor="text1"/>
          <w:szCs w:val="24"/>
        </w:rPr>
        <w:t xml:space="preserve">. In our case the idea that sexual activities between two consenting adults constitutes </w:t>
      </w:r>
      <w:r w:rsidR="009B0860" w:rsidRPr="00F76877">
        <w:rPr>
          <w:rFonts w:cs="Times New Roman"/>
          <w:color w:val="000000" w:themeColor="text1"/>
          <w:szCs w:val="24"/>
        </w:rPr>
        <w:t>‘gross</w:t>
      </w:r>
      <w:r w:rsidR="003977E4" w:rsidRPr="00F76877">
        <w:rPr>
          <w:rFonts w:cs="Times New Roman"/>
          <w:color w:val="000000" w:themeColor="text1"/>
          <w:szCs w:val="24"/>
        </w:rPr>
        <w:t xml:space="preserve"> indecency’</w:t>
      </w:r>
      <w:r w:rsidRPr="00F76877">
        <w:rPr>
          <w:rFonts w:cs="Times New Roman"/>
          <w:color w:val="000000" w:themeColor="text1"/>
          <w:szCs w:val="24"/>
        </w:rPr>
        <w:t xml:space="preserve"> </w:t>
      </w:r>
      <w:r w:rsidR="00F76877" w:rsidRPr="00F76877">
        <w:rPr>
          <w:rFonts w:cs="Times New Roman"/>
          <w:color w:val="000000" w:themeColor="text1"/>
          <w:szCs w:val="24"/>
        </w:rPr>
        <w:t>fails</w:t>
      </w:r>
      <w:r w:rsidRPr="00F76877">
        <w:rPr>
          <w:rFonts w:cs="Times New Roman"/>
          <w:color w:val="000000" w:themeColor="text1"/>
          <w:szCs w:val="24"/>
        </w:rPr>
        <w:t xml:space="preserve"> to meet the </w:t>
      </w:r>
      <w:r w:rsidR="00F76877" w:rsidRPr="00F76877">
        <w:rPr>
          <w:rFonts w:cs="Times New Roman"/>
          <w:color w:val="000000" w:themeColor="text1"/>
          <w:szCs w:val="24"/>
        </w:rPr>
        <w:t xml:space="preserve">threshold of rationality. </w:t>
      </w:r>
      <w:r w:rsidR="00713750">
        <w:rPr>
          <w:rFonts w:cs="Times New Roman"/>
          <w:color w:val="000000" w:themeColor="text1"/>
          <w:szCs w:val="24"/>
        </w:rPr>
        <w:t xml:space="preserve">But even as irrational as it may look, the violation of LBBTQI is justified on </w:t>
      </w:r>
      <w:r w:rsidR="005877F5" w:rsidRPr="00F76877">
        <w:rPr>
          <w:rFonts w:cs="Times New Roman"/>
          <w:color w:val="000000" w:themeColor="text1"/>
          <w:szCs w:val="24"/>
        </w:rPr>
        <w:t xml:space="preserve">some </w:t>
      </w:r>
      <w:r w:rsidR="003977E4" w:rsidRPr="00F76877">
        <w:rPr>
          <w:rFonts w:cs="Times New Roman"/>
          <w:color w:val="000000" w:themeColor="text1"/>
          <w:szCs w:val="24"/>
        </w:rPr>
        <w:t xml:space="preserve">hidden </w:t>
      </w:r>
      <w:r w:rsidR="005877F5" w:rsidRPr="00F76877">
        <w:rPr>
          <w:rFonts w:cs="Times New Roman"/>
          <w:color w:val="000000" w:themeColor="text1"/>
          <w:szCs w:val="24"/>
        </w:rPr>
        <w:t xml:space="preserve">and </w:t>
      </w:r>
      <w:r w:rsidR="003977E4" w:rsidRPr="00F76877">
        <w:rPr>
          <w:rFonts w:cs="Times New Roman"/>
          <w:color w:val="000000" w:themeColor="text1"/>
          <w:szCs w:val="24"/>
        </w:rPr>
        <w:t xml:space="preserve">vague framework </w:t>
      </w:r>
      <w:r w:rsidR="005877F5" w:rsidRPr="002E2C68">
        <w:rPr>
          <w:rFonts w:cs="Times New Roman"/>
          <w:szCs w:val="24"/>
        </w:rPr>
        <w:t xml:space="preserve">called </w:t>
      </w:r>
      <w:r w:rsidR="003977E4" w:rsidRPr="002E2C68">
        <w:rPr>
          <w:rFonts w:cs="Times New Roman"/>
          <w:szCs w:val="24"/>
        </w:rPr>
        <w:t xml:space="preserve">‘African culture.’ </w:t>
      </w:r>
      <w:r w:rsidR="00A35770">
        <w:rPr>
          <w:rFonts w:cs="Times New Roman"/>
          <w:szCs w:val="24"/>
        </w:rPr>
        <w:t>O</w:t>
      </w:r>
      <w:r w:rsidR="003977E4" w:rsidRPr="002E2C68">
        <w:rPr>
          <w:rFonts w:cs="Times New Roman"/>
          <w:szCs w:val="24"/>
        </w:rPr>
        <w:t>ur own experience as Africans reveal that in certain</w:t>
      </w:r>
      <w:r w:rsidR="00BD7D88">
        <w:rPr>
          <w:rFonts w:cs="Times New Roman"/>
          <w:szCs w:val="24"/>
        </w:rPr>
        <w:t xml:space="preserve"> </w:t>
      </w:r>
      <w:r w:rsidR="003977E4" w:rsidRPr="002E2C68">
        <w:rPr>
          <w:rFonts w:cs="Times New Roman"/>
          <w:szCs w:val="24"/>
        </w:rPr>
        <w:t xml:space="preserve">African cultures, </w:t>
      </w:r>
      <w:r w:rsidR="00A35770">
        <w:rPr>
          <w:rFonts w:cs="Times New Roman"/>
          <w:szCs w:val="24"/>
        </w:rPr>
        <w:t xml:space="preserve">even if not common activities such as </w:t>
      </w:r>
      <w:r w:rsidR="003977E4" w:rsidRPr="002E2C68">
        <w:rPr>
          <w:rFonts w:cs="Times New Roman"/>
          <w:szCs w:val="24"/>
        </w:rPr>
        <w:t>holding hands, hugging, kissing, dancing</w:t>
      </w:r>
      <w:r w:rsidR="00BD7D88">
        <w:rPr>
          <w:rFonts w:cs="Times New Roman"/>
          <w:szCs w:val="24"/>
        </w:rPr>
        <w:t xml:space="preserve"> </w:t>
      </w:r>
      <w:r w:rsidR="003977E4" w:rsidRPr="002E2C68">
        <w:rPr>
          <w:rFonts w:cs="Times New Roman"/>
          <w:szCs w:val="24"/>
        </w:rPr>
        <w:t xml:space="preserve">together, and even sleeping in the same bed </w:t>
      </w:r>
      <w:r w:rsidR="00A35770">
        <w:rPr>
          <w:rFonts w:cs="Times New Roman"/>
          <w:szCs w:val="24"/>
        </w:rPr>
        <w:t>by same sex persons was tolerated</w:t>
      </w:r>
      <w:r w:rsidR="00B33E5D" w:rsidRPr="002E2C68">
        <w:rPr>
          <w:rFonts w:cs="Times New Roman"/>
          <w:szCs w:val="24"/>
        </w:rPr>
        <w:t>.</w:t>
      </w:r>
      <w:r w:rsidR="00B33E5D" w:rsidRPr="002E2C68">
        <w:rPr>
          <w:rStyle w:val="FootnoteReference"/>
          <w:rFonts w:ascii="Times New Roman" w:hAnsi="Times New Roman" w:cs="Times New Roman"/>
          <w:szCs w:val="24"/>
        </w:rPr>
        <w:footnoteReference w:id="48"/>
      </w:r>
      <w:r w:rsidR="00B33E5D" w:rsidRPr="002E2C68">
        <w:rPr>
          <w:rFonts w:cs="Times New Roman"/>
          <w:szCs w:val="24"/>
        </w:rPr>
        <w:t xml:space="preserve"> </w:t>
      </w:r>
      <w:r w:rsidR="00A35770">
        <w:rPr>
          <w:rFonts w:cs="Times New Roman"/>
          <w:szCs w:val="24"/>
        </w:rPr>
        <w:t>The contradiction then obtains because a</w:t>
      </w:r>
      <w:r w:rsidR="003977E4" w:rsidRPr="002E2C68">
        <w:rPr>
          <w:rFonts w:cs="Times New Roman"/>
          <w:szCs w:val="24"/>
        </w:rPr>
        <w:t>ccording to Section 165,</w:t>
      </w:r>
      <w:r w:rsidR="002E2C68">
        <w:rPr>
          <w:rFonts w:cs="Times New Roman"/>
          <w:szCs w:val="24"/>
        </w:rPr>
        <w:t xml:space="preserve"> </w:t>
      </w:r>
      <w:r w:rsidR="00A35770">
        <w:rPr>
          <w:rFonts w:cs="Times New Roman"/>
          <w:szCs w:val="24"/>
        </w:rPr>
        <w:t xml:space="preserve">the aforementioned </w:t>
      </w:r>
      <w:r w:rsidR="003977E4" w:rsidRPr="002E2C68">
        <w:rPr>
          <w:rFonts w:cs="Times New Roman"/>
          <w:szCs w:val="24"/>
        </w:rPr>
        <w:t xml:space="preserve">activities </w:t>
      </w:r>
      <w:r w:rsidR="002C56AC">
        <w:rPr>
          <w:rFonts w:cs="Times New Roman"/>
          <w:szCs w:val="24"/>
        </w:rPr>
        <w:t xml:space="preserve">constitute </w:t>
      </w:r>
      <w:r w:rsidR="002C56AC" w:rsidRPr="002E2C68">
        <w:rPr>
          <w:rFonts w:cs="Times New Roman"/>
          <w:szCs w:val="24"/>
        </w:rPr>
        <w:t>criminal</w:t>
      </w:r>
      <w:r w:rsidR="00BD7D88" w:rsidRPr="002E2C68">
        <w:rPr>
          <w:rFonts w:cs="Times New Roman"/>
          <w:szCs w:val="24"/>
        </w:rPr>
        <w:t xml:space="preserve"> offences</w:t>
      </w:r>
      <w:r w:rsidR="00F76877">
        <w:rPr>
          <w:rFonts w:cs="Times New Roman"/>
          <w:szCs w:val="24"/>
        </w:rPr>
        <w:t xml:space="preserve"> requiring punishment</w:t>
      </w:r>
      <w:r w:rsidR="003977E4" w:rsidRPr="002E2C68">
        <w:rPr>
          <w:rFonts w:cs="Times New Roman"/>
          <w:szCs w:val="24"/>
        </w:rPr>
        <w:t xml:space="preserve">. </w:t>
      </w:r>
    </w:p>
    <w:p w14:paraId="23B2DA5B" w14:textId="2C860E19" w:rsidR="00895EBF" w:rsidRDefault="003977E4" w:rsidP="00EE03E9">
      <w:pPr>
        <w:spacing w:after="240"/>
        <w:rPr>
          <w:rStyle w:val="hgkelc"/>
        </w:rPr>
      </w:pPr>
      <w:r w:rsidRPr="005C3E35">
        <w:t>Although</w:t>
      </w:r>
      <w:r w:rsidR="00895EBF">
        <w:t xml:space="preserve"> a</w:t>
      </w:r>
      <w:r w:rsidRPr="005C3E35">
        <w:t xml:space="preserve"> few people have been charged under Sections 162</w:t>
      </w:r>
      <w:r w:rsidR="00BD7D88">
        <w:t xml:space="preserve"> </w:t>
      </w:r>
      <w:r w:rsidRPr="005C3E35">
        <w:t>(a) and (c) and 165, the</w:t>
      </w:r>
      <w:r w:rsidR="00895EBF">
        <w:t>se</w:t>
      </w:r>
      <w:r w:rsidR="00CB69D2">
        <w:t xml:space="preserve"> same </w:t>
      </w:r>
      <w:r w:rsidRPr="005C3E35">
        <w:t>laws are used to justify violence and</w:t>
      </w:r>
      <w:r w:rsidR="00BD7D88">
        <w:t xml:space="preserve"> </w:t>
      </w:r>
      <w:r w:rsidRPr="005C3E35">
        <w:t>discrimination against members of the LGBQ</w:t>
      </w:r>
      <w:r w:rsidR="000F3122">
        <w:t>I</w:t>
      </w:r>
      <w:r w:rsidRPr="005C3E35">
        <w:t xml:space="preserve"> community.</w:t>
      </w:r>
      <w:r w:rsidR="00DD4F55">
        <w:t xml:space="preserve"> </w:t>
      </w:r>
      <w:r w:rsidR="00895EBF">
        <w:t>It is for t</w:t>
      </w:r>
      <w:r w:rsidR="00DD4F55">
        <w:t xml:space="preserve">his reason </w:t>
      </w:r>
      <w:r w:rsidR="00DD4F55">
        <w:rPr>
          <w:rStyle w:val="hgkelc"/>
        </w:rPr>
        <w:t xml:space="preserve">these provisions have been subjected to </w:t>
      </w:r>
      <w:r w:rsidR="00DD4F55">
        <w:rPr>
          <w:rStyle w:val="hgkelc"/>
        </w:rPr>
        <w:lastRenderedPageBreak/>
        <w:t>civil, political and judicial contention in Kenya with different parties advancing conflicting arguments.</w:t>
      </w:r>
      <w:r w:rsidR="00787CB3">
        <w:rPr>
          <w:rStyle w:val="hgkelc"/>
        </w:rPr>
        <w:t xml:space="preserve"> </w:t>
      </w:r>
    </w:p>
    <w:p w14:paraId="7D0DC12F" w14:textId="3D034BCF" w:rsidR="00534CF8" w:rsidRDefault="00CB69D2" w:rsidP="00895EBF">
      <w:pPr>
        <w:spacing w:after="240"/>
      </w:pPr>
      <w:r>
        <w:rPr>
          <w:rStyle w:val="hgkelc"/>
        </w:rPr>
        <w:t xml:space="preserve">One case that </w:t>
      </w:r>
      <w:r w:rsidR="00EE03E9">
        <w:rPr>
          <w:rStyle w:val="hgkelc"/>
        </w:rPr>
        <w:t xml:space="preserve">has </w:t>
      </w:r>
      <w:r>
        <w:rPr>
          <w:rStyle w:val="hgkelc"/>
        </w:rPr>
        <w:t xml:space="preserve">attracted public attention </w:t>
      </w:r>
      <w:r w:rsidR="00EE03E9">
        <w:rPr>
          <w:rStyle w:val="hgkelc"/>
        </w:rPr>
        <w:t xml:space="preserve">on the human rights violations of the LGBTQI community </w:t>
      </w:r>
      <w:r>
        <w:rPr>
          <w:rStyle w:val="hgkelc"/>
        </w:rPr>
        <w:t xml:space="preserve">is that of </w:t>
      </w:r>
      <w:r w:rsidR="00787CB3">
        <w:rPr>
          <w:rStyle w:val="hgkelc"/>
        </w:rPr>
        <w:t xml:space="preserve">Eric Gitari vs </w:t>
      </w:r>
      <w:r w:rsidR="00534CF8">
        <w:rPr>
          <w:rStyle w:val="hgkelc"/>
        </w:rPr>
        <w:t>Attorney</w:t>
      </w:r>
      <w:r w:rsidR="00787CB3">
        <w:rPr>
          <w:rStyle w:val="hgkelc"/>
        </w:rPr>
        <w:t xml:space="preserve"> General</w:t>
      </w:r>
      <w:r w:rsidR="00895EBF">
        <w:rPr>
          <w:rStyle w:val="hgkelc"/>
        </w:rPr>
        <w:t>,</w:t>
      </w:r>
      <w:r w:rsidR="00787CB3">
        <w:rPr>
          <w:rStyle w:val="FootnoteReference"/>
        </w:rPr>
        <w:footnoteReference w:id="49"/>
      </w:r>
      <w:r w:rsidR="00534CF8" w:rsidRPr="00534CF8">
        <w:t xml:space="preserve"> </w:t>
      </w:r>
      <w:r w:rsidR="00534CF8">
        <w:t>w</w:t>
      </w:r>
      <w:r w:rsidR="00534CF8" w:rsidRPr="00BB13B3">
        <w:t xml:space="preserve">hose judgement was delivered at the </w:t>
      </w:r>
      <w:r w:rsidR="00534CF8">
        <w:t xml:space="preserve">High Court, Constitutional and Human Rights division in Nairobi on </w:t>
      </w:r>
      <w:r w:rsidR="00534CF8" w:rsidRPr="00BB13B3">
        <w:t>24</w:t>
      </w:r>
      <w:r w:rsidR="00534CF8" w:rsidRPr="00BB13B3">
        <w:rPr>
          <w:vertAlign w:val="superscript"/>
        </w:rPr>
        <w:t>th</w:t>
      </w:r>
      <w:r w:rsidR="00534CF8">
        <w:t xml:space="preserve"> May, 2019</w:t>
      </w:r>
      <w:r>
        <w:t xml:space="preserve">. Without going into the pleadings, I turn briefly to the judgement which </w:t>
      </w:r>
      <w:r w:rsidR="00534CF8">
        <w:t xml:space="preserve">makes </w:t>
      </w:r>
      <w:r>
        <w:t xml:space="preserve">quite some </w:t>
      </w:r>
      <w:r w:rsidR="00534CF8">
        <w:t xml:space="preserve">interesting reading. </w:t>
      </w:r>
    </w:p>
    <w:p w14:paraId="13B91240" w14:textId="026B453E" w:rsidR="00534CF8" w:rsidRPr="00412C81" w:rsidRDefault="00534CF8" w:rsidP="00570C12">
      <w:pPr>
        <w:spacing w:after="240"/>
        <w:rPr>
          <w:lang w:eastAsia="en-GB"/>
        </w:rPr>
      </w:pPr>
      <w:r w:rsidRPr="00F03123">
        <w:t>The</w:t>
      </w:r>
      <w:r w:rsidRPr="00F03123">
        <w:rPr>
          <w:lang w:eastAsia="en-GB"/>
        </w:rPr>
        <w:t xml:space="preserve"> petition </w:t>
      </w:r>
      <w:r w:rsidRPr="00412C81">
        <w:rPr>
          <w:lang w:eastAsia="en-GB"/>
        </w:rPr>
        <w:t>case was filed in the year 2016 by an activist, Eric Gitari, and other organizations working for the rights of LGBTQ</w:t>
      </w:r>
      <w:r w:rsidR="00F03123">
        <w:rPr>
          <w:lang w:eastAsia="en-GB"/>
        </w:rPr>
        <w:t>I</w:t>
      </w:r>
      <w:r w:rsidRPr="00412C81">
        <w:rPr>
          <w:lang w:eastAsia="en-GB"/>
        </w:rPr>
        <w:t xml:space="preserve"> </w:t>
      </w:r>
      <w:r w:rsidR="008971FA">
        <w:rPr>
          <w:lang w:eastAsia="en-GB"/>
        </w:rPr>
        <w:t xml:space="preserve">in </w:t>
      </w:r>
      <w:r w:rsidRPr="00412C81">
        <w:rPr>
          <w:lang w:eastAsia="en-GB"/>
        </w:rPr>
        <w:t>Kenya</w:t>
      </w:r>
      <w:r w:rsidR="00F03123">
        <w:rPr>
          <w:lang w:eastAsia="en-GB"/>
        </w:rPr>
        <w:t xml:space="preserve">. Their main contention was </w:t>
      </w:r>
      <w:r w:rsidRPr="00412C81">
        <w:rPr>
          <w:lang w:eastAsia="en-GB"/>
        </w:rPr>
        <w:t xml:space="preserve">that Sections 162 </w:t>
      </w:r>
      <w:r w:rsidR="008971FA">
        <w:rPr>
          <w:lang w:eastAsia="en-GB"/>
        </w:rPr>
        <w:t>(</w:t>
      </w:r>
      <w:r w:rsidR="006D7F85">
        <w:rPr>
          <w:lang w:eastAsia="en-GB"/>
        </w:rPr>
        <w:t>u</w:t>
      </w:r>
      <w:r w:rsidRPr="00412C81">
        <w:rPr>
          <w:lang w:eastAsia="en-GB"/>
        </w:rPr>
        <w:t>nnatural Offences</w:t>
      </w:r>
      <w:r w:rsidR="008971FA">
        <w:rPr>
          <w:lang w:eastAsia="en-GB"/>
        </w:rPr>
        <w:t>)</w:t>
      </w:r>
      <w:r w:rsidRPr="00412C81">
        <w:rPr>
          <w:lang w:eastAsia="en-GB"/>
        </w:rPr>
        <w:t xml:space="preserve"> and 165 </w:t>
      </w:r>
      <w:r w:rsidR="008971FA">
        <w:rPr>
          <w:lang w:eastAsia="en-GB"/>
        </w:rPr>
        <w:t>(</w:t>
      </w:r>
      <w:r w:rsidR="006D7F85">
        <w:rPr>
          <w:lang w:eastAsia="en-GB"/>
        </w:rPr>
        <w:t>i</w:t>
      </w:r>
      <w:r w:rsidRPr="00412C81">
        <w:rPr>
          <w:lang w:eastAsia="en-GB"/>
        </w:rPr>
        <w:t>ndecent practices between males</w:t>
      </w:r>
      <w:r w:rsidR="008971FA">
        <w:rPr>
          <w:lang w:eastAsia="en-GB"/>
        </w:rPr>
        <w:t>)</w:t>
      </w:r>
      <w:r w:rsidRPr="00412C81">
        <w:rPr>
          <w:lang w:eastAsia="en-GB"/>
        </w:rPr>
        <w:t xml:space="preserve"> of the </w:t>
      </w:r>
      <w:r w:rsidR="008971FA">
        <w:rPr>
          <w:lang w:eastAsia="en-GB"/>
        </w:rPr>
        <w:t xml:space="preserve">Kenyan Penal Code </w:t>
      </w:r>
      <w:r w:rsidR="008971FA" w:rsidRPr="00412C81">
        <w:rPr>
          <w:lang w:eastAsia="en-GB"/>
        </w:rPr>
        <w:t>violated</w:t>
      </w:r>
      <w:r w:rsidR="008971FA">
        <w:rPr>
          <w:lang w:eastAsia="en-GB"/>
        </w:rPr>
        <w:t xml:space="preserve"> </w:t>
      </w:r>
      <w:r w:rsidR="00AD0F72">
        <w:rPr>
          <w:lang w:eastAsia="en-GB"/>
        </w:rPr>
        <w:t>a</w:t>
      </w:r>
      <w:r w:rsidR="008971FA">
        <w:rPr>
          <w:lang w:eastAsia="en-GB"/>
        </w:rPr>
        <w:t>rticle 27 of</w:t>
      </w:r>
      <w:r w:rsidRPr="00412C81">
        <w:rPr>
          <w:lang w:eastAsia="en-GB"/>
        </w:rPr>
        <w:t xml:space="preserve"> the Constitution </w:t>
      </w:r>
      <w:r w:rsidR="00F03123">
        <w:rPr>
          <w:lang w:eastAsia="en-GB"/>
        </w:rPr>
        <w:t xml:space="preserve">of Kenya </w:t>
      </w:r>
      <w:r w:rsidR="00513168">
        <w:rPr>
          <w:lang w:eastAsia="en-GB"/>
        </w:rPr>
        <w:t>(</w:t>
      </w:r>
      <w:r w:rsidR="00F03123">
        <w:rPr>
          <w:lang w:eastAsia="en-GB"/>
        </w:rPr>
        <w:t>2010</w:t>
      </w:r>
      <w:r w:rsidR="00513168">
        <w:rPr>
          <w:lang w:eastAsia="en-GB"/>
        </w:rPr>
        <w:t>)</w:t>
      </w:r>
      <w:r w:rsidR="00F03123">
        <w:rPr>
          <w:lang w:eastAsia="en-GB"/>
        </w:rPr>
        <w:t xml:space="preserve"> </w:t>
      </w:r>
      <w:r w:rsidRPr="00412C81">
        <w:rPr>
          <w:lang w:eastAsia="en-GB"/>
        </w:rPr>
        <w:t>which guarantees the right to equality, non-discrimination, human dignity, security, privacy, and health for all its</w:t>
      </w:r>
      <w:r w:rsidR="008971FA">
        <w:rPr>
          <w:lang w:eastAsia="en-GB"/>
        </w:rPr>
        <w:t xml:space="preserve"> citizens</w:t>
      </w:r>
      <w:r w:rsidRPr="00412C81">
        <w:rPr>
          <w:lang w:eastAsia="en-GB"/>
        </w:rPr>
        <w:t xml:space="preserve">. </w:t>
      </w:r>
      <w:r w:rsidR="008971FA">
        <w:rPr>
          <w:lang w:eastAsia="en-GB"/>
        </w:rPr>
        <w:t xml:space="preserve">The Attorney General on behalf of the Government held that whereas </w:t>
      </w:r>
      <w:r w:rsidRPr="00412C81">
        <w:rPr>
          <w:lang w:eastAsia="en-GB"/>
        </w:rPr>
        <w:t xml:space="preserve">it does not support any </w:t>
      </w:r>
      <w:r w:rsidR="00F03123">
        <w:rPr>
          <w:lang w:eastAsia="en-GB"/>
        </w:rPr>
        <w:t xml:space="preserve">form </w:t>
      </w:r>
      <w:r w:rsidRPr="00412C81">
        <w:rPr>
          <w:lang w:eastAsia="en-GB"/>
        </w:rPr>
        <w:t>of discrimination against the LGBTIQ community</w:t>
      </w:r>
      <w:r w:rsidR="008971FA">
        <w:rPr>
          <w:lang w:eastAsia="en-GB"/>
        </w:rPr>
        <w:t xml:space="preserve">, the Government </w:t>
      </w:r>
      <w:r w:rsidRPr="00412C81">
        <w:rPr>
          <w:lang w:eastAsia="en-GB"/>
        </w:rPr>
        <w:t>consider</w:t>
      </w:r>
      <w:r w:rsidR="008971FA">
        <w:rPr>
          <w:lang w:eastAsia="en-GB"/>
        </w:rPr>
        <w:t>s</w:t>
      </w:r>
      <w:r w:rsidRPr="00412C81">
        <w:rPr>
          <w:lang w:eastAsia="en-GB"/>
        </w:rPr>
        <w:t xml:space="preserve"> same sex relations </w:t>
      </w:r>
      <w:r w:rsidR="008971FA">
        <w:rPr>
          <w:lang w:eastAsia="en-GB"/>
        </w:rPr>
        <w:t>an affront and contrary</w:t>
      </w:r>
      <w:r w:rsidRPr="00412C81">
        <w:rPr>
          <w:lang w:eastAsia="en-GB"/>
        </w:rPr>
        <w:t xml:space="preserve"> to Kenyan culture and</w:t>
      </w:r>
      <w:r w:rsidR="008971FA">
        <w:rPr>
          <w:lang w:eastAsia="en-GB"/>
        </w:rPr>
        <w:t xml:space="preserve"> morals. </w:t>
      </w:r>
    </w:p>
    <w:p w14:paraId="3DFDE390" w14:textId="686E2EDA" w:rsidR="008971FA" w:rsidRDefault="008971FA" w:rsidP="00570C12">
      <w:pPr>
        <w:spacing w:after="240"/>
        <w:rPr>
          <w:lang w:eastAsia="en-GB"/>
        </w:rPr>
      </w:pPr>
      <w:r>
        <w:rPr>
          <w:lang w:eastAsia="en-GB"/>
        </w:rPr>
        <w:t xml:space="preserve">In its judgement, </w:t>
      </w:r>
      <w:r w:rsidR="00EE03E9">
        <w:rPr>
          <w:lang w:eastAsia="en-GB"/>
        </w:rPr>
        <w:t xml:space="preserve">the </w:t>
      </w:r>
      <w:r w:rsidRPr="00412C81">
        <w:rPr>
          <w:lang w:eastAsia="en-GB"/>
        </w:rPr>
        <w:t>High Court dismissed the petition on the ground that there is no substantial evidence to prove that members of the LGBTQ</w:t>
      </w:r>
      <w:r w:rsidR="006D7F85">
        <w:rPr>
          <w:lang w:eastAsia="en-GB"/>
        </w:rPr>
        <w:t>I</w:t>
      </w:r>
      <w:r w:rsidRPr="00412C81">
        <w:rPr>
          <w:lang w:eastAsia="en-GB"/>
        </w:rPr>
        <w:t xml:space="preserve"> community have been discriminated against. The Court </w:t>
      </w:r>
      <w:r w:rsidR="00BC6B0C">
        <w:rPr>
          <w:lang w:eastAsia="en-GB"/>
        </w:rPr>
        <w:t xml:space="preserve">further </w:t>
      </w:r>
      <w:r w:rsidR="00BC6B0C" w:rsidRPr="00412C81">
        <w:rPr>
          <w:lang w:eastAsia="en-GB"/>
        </w:rPr>
        <w:t>held</w:t>
      </w:r>
      <w:r w:rsidRPr="00412C81">
        <w:rPr>
          <w:lang w:eastAsia="en-GB"/>
        </w:rPr>
        <w:t xml:space="preserve"> that </w:t>
      </w:r>
      <w:r w:rsidR="00F03123" w:rsidRPr="00412C81">
        <w:rPr>
          <w:lang w:eastAsia="en-GB"/>
        </w:rPr>
        <w:t>d</w:t>
      </w:r>
      <w:r w:rsidR="00F03123">
        <w:rPr>
          <w:lang w:eastAsia="en-GB"/>
        </w:rPr>
        <w:t>ecr</w:t>
      </w:r>
      <w:r w:rsidR="00F03123" w:rsidRPr="00412C81">
        <w:rPr>
          <w:lang w:eastAsia="en-GB"/>
        </w:rPr>
        <w:t>iminalization</w:t>
      </w:r>
      <w:r w:rsidRPr="00412C81">
        <w:rPr>
          <w:lang w:eastAsia="en-GB"/>
        </w:rPr>
        <w:t xml:space="preserve"> of same-sex relations would be </w:t>
      </w:r>
      <w:r w:rsidR="00BC6B0C">
        <w:rPr>
          <w:lang w:eastAsia="en-GB"/>
        </w:rPr>
        <w:t xml:space="preserve">contradicting </w:t>
      </w:r>
      <w:r w:rsidR="00AD0F72">
        <w:rPr>
          <w:lang w:eastAsia="en-GB"/>
        </w:rPr>
        <w:t>a</w:t>
      </w:r>
      <w:r w:rsidR="00BC6B0C">
        <w:rPr>
          <w:lang w:eastAsia="en-GB"/>
        </w:rPr>
        <w:t>rticle 45 (2) of the very constitution the petitioners were relying on.</w:t>
      </w:r>
      <w:r w:rsidR="00BC6B0C">
        <w:rPr>
          <w:rStyle w:val="FootnoteReference"/>
          <w:rFonts w:eastAsia="Times New Roman"/>
          <w:szCs w:val="24"/>
          <w:lang w:eastAsia="en-GB"/>
        </w:rPr>
        <w:footnoteReference w:id="50"/>
      </w:r>
      <w:r w:rsidR="00BC6B0C">
        <w:rPr>
          <w:lang w:eastAsia="en-GB"/>
        </w:rPr>
        <w:t xml:space="preserve"> Consequently, </w:t>
      </w:r>
      <w:r w:rsidRPr="00412C81">
        <w:rPr>
          <w:lang w:eastAsia="en-GB"/>
        </w:rPr>
        <w:t xml:space="preserve">the Kenyan High Court upheld Sections 162 and 165 of the Kenyan Penal </w:t>
      </w:r>
      <w:r w:rsidR="00BC6B0C">
        <w:rPr>
          <w:lang w:eastAsia="en-GB"/>
        </w:rPr>
        <w:t>Code</w:t>
      </w:r>
      <w:r w:rsidRPr="00412C81">
        <w:rPr>
          <w:lang w:eastAsia="en-GB"/>
        </w:rPr>
        <w:t>.</w:t>
      </w:r>
      <w:r w:rsidR="00BC6B0C">
        <w:rPr>
          <w:lang w:eastAsia="en-GB"/>
        </w:rPr>
        <w:t xml:space="preserve"> </w:t>
      </w:r>
      <w:r w:rsidR="00EE03E9">
        <w:rPr>
          <w:lang w:eastAsia="en-GB"/>
        </w:rPr>
        <w:t>While t</w:t>
      </w:r>
      <w:r w:rsidR="00BC6B0C">
        <w:rPr>
          <w:lang w:eastAsia="en-GB"/>
        </w:rPr>
        <w:t>his interpretation may be appealing to those who are offended by same sex relationships</w:t>
      </w:r>
      <w:r w:rsidR="00EE03E9">
        <w:rPr>
          <w:lang w:eastAsia="en-GB"/>
        </w:rPr>
        <w:t xml:space="preserve">, </w:t>
      </w:r>
      <w:r w:rsidR="00BC6B0C">
        <w:rPr>
          <w:lang w:eastAsia="en-GB"/>
        </w:rPr>
        <w:t xml:space="preserve">it is important </w:t>
      </w:r>
      <w:r w:rsidR="00D46417">
        <w:rPr>
          <w:lang w:eastAsia="en-GB"/>
        </w:rPr>
        <w:t xml:space="preserve">to </w:t>
      </w:r>
      <w:r w:rsidR="00BC6B0C">
        <w:rPr>
          <w:lang w:eastAsia="en-GB"/>
        </w:rPr>
        <w:t>point out that these are acts of two consenting adults who</w:t>
      </w:r>
      <w:r w:rsidR="00D46417">
        <w:rPr>
          <w:lang w:eastAsia="en-GB"/>
        </w:rPr>
        <w:t>se</w:t>
      </w:r>
      <w:r w:rsidR="00BC6B0C">
        <w:rPr>
          <w:lang w:eastAsia="en-GB"/>
        </w:rPr>
        <w:t xml:space="preserve"> actions should be respected whether </w:t>
      </w:r>
      <w:r w:rsidR="00EE03E9">
        <w:rPr>
          <w:lang w:eastAsia="en-GB"/>
        </w:rPr>
        <w:t xml:space="preserve">these complies with social expectations or </w:t>
      </w:r>
      <w:r w:rsidR="00BC6B0C">
        <w:rPr>
          <w:lang w:eastAsia="en-GB"/>
        </w:rPr>
        <w:t>not.</w:t>
      </w:r>
      <w:r w:rsidR="00C56339">
        <w:rPr>
          <w:rStyle w:val="FootnoteReference"/>
          <w:rFonts w:eastAsia="Times New Roman"/>
          <w:szCs w:val="24"/>
          <w:lang w:eastAsia="en-GB"/>
        </w:rPr>
        <w:footnoteReference w:id="51"/>
      </w:r>
      <w:r w:rsidR="00141F11">
        <w:rPr>
          <w:lang w:eastAsia="en-GB"/>
        </w:rPr>
        <w:t>The very fact of universalizing human rights make them:</w:t>
      </w:r>
    </w:p>
    <w:p w14:paraId="130543D7" w14:textId="2A734F3D" w:rsidR="00141F11" w:rsidRDefault="00141F11" w:rsidP="005E4D55">
      <w:pPr>
        <w:pStyle w:val="Indent1"/>
      </w:pPr>
      <w:r>
        <w:t>…</w:t>
      </w:r>
      <w:r w:rsidRPr="001573DF">
        <w:t>rights</w:t>
      </w:r>
      <w:r>
        <w:t xml:space="preserve"> [that]</w:t>
      </w:r>
      <w:r w:rsidRPr="001573DF">
        <w:t xml:space="preserve"> we have simply because we exist as human beings</w:t>
      </w:r>
      <w:r>
        <w:t>. (T)</w:t>
      </w:r>
      <w:r w:rsidRPr="001573DF">
        <w:t xml:space="preserve">hey are not granted by </w:t>
      </w:r>
      <w:r w:rsidRPr="005E4D55">
        <w:rPr>
          <w:i/>
        </w:rPr>
        <w:t>the</w:t>
      </w:r>
      <w:r>
        <w:t xml:space="preserve"> </w:t>
      </w:r>
      <w:r w:rsidRPr="001573DF">
        <w:t xml:space="preserve">state. These universal rights are </w:t>
      </w:r>
      <w:r w:rsidRPr="001573DF">
        <w:rPr>
          <w:rFonts w:eastAsiaTheme="majorEastAsia"/>
        </w:rPr>
        <w:t>inherent</w:t>
      </w:r>
      <w:r w:rsidRPr="001573DF">
        <w:t xml:space="preserve"> to us all, regardless of nationality, sex …ethnic origin, </w:t>
      </w:r>
      <w:r w:rsidRPr="001573DF">
        <w:lastRenderedPageBreak/>
        <w:t xml:space="preserve">colour, religion, language, or any other status. They </w:t>
      </w:r>
      <w:r>
        <w:t>range from the most fundamental</w:t>
      </w:r>
      <w:r w:rsidRPr="001573DF">
        <w:t>-the right to life</w:t>
      </w:r>
      <w:r>
        <w:t xml:space="preserve">, </w:t>
      </w:r>
      <w:r w:rsidRPr="001573DF">
        <w:t>to those that make life worth living, such as the rights to food, education, work, health, and liberty.</w:t>
      </w:r>
      <w:r>
        <w:rPr>
          <w:rStyle w:val="FootnoteReference"/>
        </w:rPr>
        <w:footnoteReference w:id="52"/>
      </w:r>
    </w:p>
    <w:p w14:paraId="6970D850" w14:textId="145C3BF9" w:rsidR="005E4D55" w:rsidRDefault="008D5EF5" w:rsidP="008D5EF5">
      <w:pPr>
        <w:spacing w:after="240"/>
      </w:pPr>
      <w:r w:rsidRPr="00D07E78">
        <w:t>By be</w:t>
      </w:r>
      <w:r>
        <w:t>coming parties to international, regional or even local human rights instruments, s</w:t>
      </w:r>
      <w:r w:rsidRPr="00D07E78">
        <w:t>tates assume obligations and duties under i</w:t>
      </w:r>
      <w:r>
        <w:t xml:space="preserve">nternational law to respect, </w:t>
      </w:r>
      <w:r w:rsidRPr="00D07E78">
        <w:t>protect</w:t>
      </w:r>
      <w:r w:rsidR="002924F0">
        <w:t>,</w:t>
      </w:r>
      <w:r w:rsidRPr="00D07E78">
        <w:t xml:space="preserve"> and to fulfil human rights.</w:t>
      </w:r>
      <w:r w:rsidR="002924F0">
        <w:t xml:space="preserve"> In</w:t>
      </w:r>
      <w:r w:rsidR="002924F0" w:rsidRPr="002924F0">
        <w:t xml:space="preserve"> </w:t>
      </w:r>
      <w:r w:rsidR="002924F0">
        <w:t xml:space="preserve">which case the </w:t>
      </w:r>
      <w:r w:rsidR="002924F0" w:rsidRPr="00000A1B">
        <w:t>obligation to respect means that States must refrain from interfering with or curtailin</w:t>
      </w:r>
      <w:r w:rsidR="002924F0">
        <w:t xml:space="preserve">g the enjoyment of human rights. </w:t>
      </w:r>
      <w:r w:rsidR="002924F0" w:rsidRPr="00000A1B">
        <w:t>The obligation to protect requires States to protect individuals and groups against human rights abuses.</w:t>
      </w:r>
      <w:r w:rsidR="005E4D55">
        <w:t xml:space="preserve"> While t</w:t>
      </w:r>
      <w:r w:rsidR="002924F0" w:rsidRPr="00000A1B">
        <w:t xml:space="preserve">he obligation to </w:t>
      </w:r>
      <w:r w:rsidR="005E4D55" w:rsidRPr="00000A1B">
        <w:t>fulfil</w:t>
      </w:r>
      <w:r w:rsidR="002924F0" w:rsidRPr="00000A1B">
        <w:t xml:space="preserve"> means that States must take positive action to facilitate the enjoyment of basic human rights.</w:t>
      </w:r>
      <w:r w:rsidR="005E4D55">
        <w:rPr>
          <w:rStyle w:val="FootnoteReference"/>
        </w:rPr>
        <w:footnoteReference w:id="53"/>
      </w:r>
      <w:r w:rsidR="005E4D55">
        <w:t xml:space="preserve"> </w:t>
      </w:r>
      <w:r w:rsidR="00D55F65">
        <w:t xml:space="preserve">Any other way of looking at the law within the framework of human rights becomes faulty. </w:t>
      </w:r>
    </w:p>
    <w:p w14:paraId="019077B1" w14:textId="4529AFC4" w:rsidR="002138B3" w:rsidRDefault="00D55F65" w:rsidP="008D5EF5">
      <w:pPr>
        <w:spacing w:after="240"/>
      </w:pPr>
      <w:r>
        <w:rPr>
          <w:lang w:eastAsia="en-GB"/>
        </w:rPr>
        <w:t>This argument therefore makes t</w:t>
      </w:r>
      <w:r w:rsidR="00787CB3" w:rsidRPr="00026A6A">
        <w:rPr>
          <w:lang w:eastAsia="en-GB"/>
        </w:rPr>
        <w:t xml:space="preserve">he judgment of the Kenyan High </w:t>
      </w:r>
      <w:r w:rsidRPr="00026A6A">
        <w:rPr>
          <w:lang w:eastAsia="en-GB"/>
        </w:rPr>
        <w:t>Court constitutionally</w:t>
      </w:r>
      <w:r w:rsidR="00787CB3" w:rsidRPr="00026A6A">
        <w:rPr>
          <w:lang w:eastAsia="en-GB"/>
        </w:rPr>
        <w:t xml:space="preserve"> </w:t>
      </w:r>
      <w:r>
        <w:rPr>
          <w:lang w:eastAsia="en-GB"/>
        </w:rPr>
        <w:t xml:space="preserve">and </w:t>
      </w:r>
      <w:r w:rsidR="00787CB3" w:rsidRPr="00026A6A">
        <w:rPr>
          <w:lang w:eastAsia="en-GB"/>
        </w:rPr>
        <w:t xml:space="preserve">morally </w:t>
      </w:r>
      <w:r w:rsidR="00D46417" w:rsidRPr="00026A6A">
        <w:rPr>
          <w:lang w:eastAsia="en-GB"/>
        </w:rPr>
        <w:t>obnoxious if indeed one has to appeal to both Kenyan morality and the</w:t>
      </w:r>
      <w:r w:rsidR="00F03123">
        <w:rPr>
          <w:lang w:eastAsia="en-GB"/>
        </w:rPr>
        <w:t xml:space="preserve"> C</w:t>
      </w:r>
      <w:r w:rsidR="00D46417" w:rsidRPr="00026A6A">
        <w:rPr>
          <w:lang w:eastAsia="en-GB"/>
        </w:rPr>
        <w:t xml:space="preserve">onstitution </w:t>
      </w:r>
      <w:r w:rsidR="00F03123">
        <w:rPr>
          <w:lang w:eastAsia="en-GB"/>
        </w:rPr>
        <w:t xml:space="preserve">of Kenya </w:t>
      </w:r>
      <w:r>
        <w:rPr>
          <w:lang w:eastAsia="en-GB"/>
        </w:rPr>
        <w:t>(</w:t>
      </w:r>
      <w:r w:rsidR="00D46417" w:rsidRPr="00026A6A">
        <w:rPr>
          <w:lang w:eastAsia="en-GB"/>
        </w:rPr>
        <w:t>2010</w:t>
      </w:r>
      <w:r>
        <w:rPr>
          <w:lang w:eastAsia="en-GB"/>
        </w:rPr>
        <w:t>)</w:t>
      </w:r>
      <w:r w:rsidR="00D46417" w:rsidRPr="00026A6A">
        <w:rPr>
          <w:lang w:eastAsia="en-GB"/>
        </w:rPr>
        <w:t xml:space="preserve">. </w:t>
      </w:r>
      <w:r>
        <w:rPr>
          <w:lang w:eastAsia="en-GB"/>
        </w:rPr>
        <w:t xml:space="preserve">I argue and submit that </w:t>
      </w:r>
      <w:r w:rsidRPr="00026A6A">
        <w:rPr>
          <w:lang w:eastAsia="en-GB"/>
        </w:rPr>
        <w:t>the</w:t>
      </w:r>
      <w:r w:rsidR="00D46417" w:rsidRPr="00026A6A">
        <w:rPr>
          <w:lang w:eastAsia="en-GB"/>
        </w:rPr>
        <w:t xml:space="preserve"> greatest moral parameter </w:t>
      </w:r>
      <w:r>
        <w:rPr>
          <w:lang w:eastAsia="en-GB"/>
        </w:rPr>
        <w:t xml:space="preserve">should be appeal to </w:t>
      </w:r>
      <w:r w:rsidR="00D46417" w:rsidRPr="00026A6A">
        <w:rPr>
          <w:lang w:eastAsia="en-GB"/>
        </w:rPr>
        <w:t xml:space="preserve">human dignity. This ought to barricade the boundaries of any morality. Article </w:t>
      </w:r>
      <w:r w:rsidR="00787CB3" w:rsidRPr="00026A6A">
        <w:rPr>
          <w:lang w:eastAsia="en-GB"/>
        </w:rPr>
        <w:t xml:space="preserve">27 </w:t>
      </w:r>
      <w:r>
        <w:rPr>
          <w:lang w:eastAsia="en-GB"/>
        </w:rPr>
        <w:t xml:space="preserve">certainly </w:t>
      </w:r>
      <w:r w:rsidR="006C29C9" w:rsidRPr="00026A6A">
        <w:rPr>
          <w:lang w:eastAsia="en-GB"/>
        </w:rPr>
        <w:t xml:space="preserve">speaks to the core of the UDHR; principles of </w:t>
      </w:r>
      <w:r w:rsidR="00787CB3" w:rsidRPr="00026A6A">
        <w:rPr>
          <w:lang w:eastAsia="en-GB"/>
        </w:rPr>
        <w:t>equality,</w:t>
      </w:r>
      <w:r w:rsidR="00CA7DD3" w:rsidRPr="00026A6A">
        <w:rPr>
          <w:rStyle w:val="FootnoteReference"/>
          <w:rFonts w:eastAsia="Times New Roman"/>
          <w:color w:val="000000" w:themeColor="text1"/>
          <w:szCs w:val="24"/>
          <w:lang w:eastAsia="en-GB"/>
        </w:rPr>
        <w:footnoteReference w:id="54"/>
      </w:r>
      <w:r w:rsidR="00787CB3" w:rsidRPr="00026A6A">
        <w:rPr>
          <w:lang w:eastAsia="en-GB"/>
        </w:rPr>
        <w:t xml:space="preserve"> non-discrimination,</w:t>
      </w:r>
      <w:r w:rsidR="00A22B2F" w:rsidRPr="00026A6A">
        <w:rPr>
          <w:rStyle w:val="FootnoteReference"/>
          <w:rFonts w:eastAsia="Times New Roman"/>
          <w:color w:val="000000" w:themeColor="text1"/>
          <w:szCs w:val="24"/>
          <w:lang w:eastAsia="en-GB"/>
        </w:rPr>
        <w:footnoteReference w:id="55"/>
      </w:r>
      <w:r w:rsidR="00787CB3" w:rsidRPr="00026A6A">
        <w:rPr>
          <w:lang w:eastAsia="en-GB"/>
        </w:rPr>
        <w:t xml:space="preserve"> human dignity,</w:t>
      </w:r>
      <w:r w:rsidR="006C29C9" w:rsidRPr="00026A6A">
        <w:rPr>
          <w:rStyle w:val="FootnoteReference"/>
          <w:rFonts w:eastAsia="Times New Roman"/>
          <w:color w:val="000000" w:themeColor="text1"/>
          <w:szCs w:val="24"/>
          <w:lang w:eastAsia="en-GB"/>
        </w:rPr>
        <w:footnoteReference w:id="56"/>
      </w:r>
      <w:r w:rsidR="00787CB3" w:rsidRPr="00026A6A">
        <w:rPr>
          <w:lang w:eastAsia="en-GB"/>
        </w:rPr>
        <w:t xml:space="preserve"> security,</w:t>
      </w:r>
      <w:r w:rsidR="00A22B2F" w:rsidRPr="00026A6A">
        <w:rPr>
          <w:rStyle w:val="FootnoteReference"/>
          <w:rFonts w:eastAsia="Times New Roman"/>
          <w:color w:val="000000" w:themeColor="text1"/>
          <w:szCs w:val="24"/>
          <w:lang w:eastAsia="en-GB"/>
        </w:rPr>
        <w:footnoteReference w:id="57"/>
      </w:r>
      <w:r w:rsidR="00787CB3" w:rsidRPr="00026A6A">
        <w:rPr>
          <w:lang w:eastAsia="en-GB"/>
        </w:rPr>
        <w:t xml:space="preserve"> privacy,</w:t>
      </w:r>
      <w:r w:rsidR="00A22B2F" w:rsidRPr="00026A6A">
        <w:rPr>
          <w:rStyle w:val="FootnoteReference"/>
          <w:rFonts w:eastAsia="Times New Roman"/>
          <w:color w:val="000000" w:themeColor="text1"/>
          <w:szCs w:val="24"/>
          <w:lang w:eastAsia="en-GB"/>
        </w:rPr>
        <w:footnoteReference w:id="58"/>
      </w:r>
      <w:r w:rsidR="00787CB3" w:rsidRPr="00026A6A">
        <w:rPr>
          <w:lang w:eastAsia="en-GB"/>
        </w:rPr>
        <w:t xml:space="preserve"> and health</w:t>
      </w:r>
      <w:r w:rsidR="00A22B2F" w:rsidRPr="00026A6A">
        <w:rPr>
          <w:rStyle w:val="FootnoteReference"/>
          <w:rFonts w:eastAsia="Times New Roman"/>
          <w:color w:val="000000" w:themeColor="text1"/>
          <w:szCs w:val="24"/>
          <w:lang w:eastAsia="en-GB"/>
        </w:rPr>
        <w:footnoteReference w:id="59"/>
      </w:r>
      <w:r w:rsidR="00787CB3" w:rsidRPr="00026A6A">
        <w:rPr>
          <w:lang w:eastAsia="en-GB"/>
        </w:rPr>
        <w:t xml:space="preserve"> for all its citizens. </w:t>
      </w:r>
      <w:r w:rsidR="006D7F85" w:rsidRPr="00026A6A">
        <w:rPr>
          <w:lang w:eastAsia="en-GB"/>
        </w:rPr>
        <w:t xml:space="preserve">A plain reading of article 27 (4) reveals that the state cannot discriminate against </w:t>
      </w:r>
      <w:r w:rsidR="006D7F85" w:rsidRPr="00026A6A">
        <w:rPr>
          <w:i/>
          <w:lang w:eastAsia="en-GB"/>
        </w:rPr>
        <w:t>any person</w:t>
      </w:r>
      <w:r w:rsidR="006D7F85" w:rsidRPr="00026A6A">
        <w:rPr>
          <w:lang w:eastAsia="en-GB"/>
        </w:rPr>
        <w:t xml:space="preserve"> on </w:t>
      </w:r>
      <w:r w:rsidR="006D7F85" w:rsidRPr="00026A6A">
        <w:rPr>
          <w:i/>
          <w:lang w:eastAsia="en-GB"/>
        </w:rPr>
        <w:t>any ground</w:t>
      </w:r>
      <w:r w:rsidR="007E314B">
        <w:rPr>
          <w:lang w:eastAsia="en-GB"/>
        </w:rPr>
        <w:t xml:space="preserve">. This </w:t>
      </w:r>
      <w:r>
        <w:rPr>
          <w:lang w:eastAsia="en-GB"/>
        </w:rPr>
        <w:t xml:space="preserve">is a categorical directive to the </w:t>
      </w:r>
      <w:r w:rsidR="006D7F85" w:rsidRPr="00026A6A">
        <w:rPr>
          <w:lang w:eastAsia="en-GB"/>
        </w:rPr>
        <w:t xml:space="preserve">interpretation and meaning of </w:t>
      </w:r>
      <w:r w:rsidR="002138B3">
        <w:rPr>
          <w:lang w:eastAsia="en-GB"/>
        </w:rPr>
        <w:t xml:space="preserve">the </w:t>
      </w:r>
      <w:r w:rsidR="006D7F85" w:rsidRPr="00026A6A">
        <w:rPr>
          <w:lang w:eastAsia="en-GB"/>
        </w:rPr>
        <w:t>intention</w:t>
      </w:r>
      <w:r w:rsidR="00026A6A" w:rsidRPr="00026A6A">
        <w:rPr>
          <w:lang w:eastAsia="en-GB"/>
        </w:rPr>
        <w:t>s</w:t>
      </w:r>
      <w:r w:rsidR="002138B3">
        <w:rPr>
          <w:lang w:eastAsia="en-GB"/>
        </w:rPr>
        <w:t xml:space="preserve"> of the framers of the Constitution of Kenya (2010)</w:t>
      </w:r>
      <w:r w:rsidR="00026A6A" w:rsidRPr="00026A6A">
        <w:rPr>
          <w:lang w:eastAsia="en-GB"/>
        </w:rPr>
        <w:t>: that any form of discrimination is unconstitutional.</w:t>
      </w:r>
      <w:r w:rsidR="002138B3">
        <w:rPr>
          <w:lang w:eastAsia="en-GB"/>
        </w:rPr>
        <w:t xml:space="preserve"> However,</w:t>
      </w:r>
      <w:r w:rsidR="00026A6A" w:rsidRPr="00026A6A">
        <w:rPr>
          <w:lang w:eastAsia="en-GB"/>
        </w:rPr>
        <w:t xml:space="preserve"> the High Court thought otherwise. </w:t>
      </w:r>
      <w:r w:rsidR="007E314B">
        <w:rPr>
          <w:lang w:eastAsia="en-GB"/>
        </w:rPr>
        <w:t xml:space="preserve">The court equally based its judgement on </w:t>
      </w:r>
      <w:r>
        <w:rPr>
          <w:lang w:eastAsia="en-GB"/>
        </w:rPr>
        <w:t xml:space="preserve">a </w:t>
      </w:r>
      <w:r w:rsidR="00026A6A" w:rsidRPr="00026A6A">
        <w:rPr>
          <w:lang w:eastAsia="en-GB"/>
        </w:rPr>
        <w:t xml:space="preserve">speculative </w:t>
      </w:r>
      <w:r w:rsidR="007E314B">
        <w:rPr>
          <w:lang w:eastAsia="en-GB"/>
        </w:rPr>
        <w:t xml:space="preserve">principle in the </w:t>
      </w:r>
      <w:r w:rsidR="007E314B" w:rsidRPr="00026A6A">
        <w:rPr>
          <w:lang w:eastAsia="en-GB"/>
        </w:rPr>
        <w:t>Kenyan</w:t>
      </w:r>
      <w:r w:rsidR="00026A6A" w:rsidRPr="00026A6A">
        <w:rPr>
          <w:lang w:eastAsia="en-GB"/>
        </w:rPr>
        <w:t xml:space="preserve"> culture</w:t>
      </w:r>
      <w:r>
        <w:rPr>
          <w:lang w:eastAsia="en-GB"/>
        </w:rPr>
        <w:t xml:space="preserve">; that </w:t>
      </w:r>
      <w:r w:rsidR="007E314B">
        <w:rPr>
          <w:lang w:eastAsia="en-GB"/>
        </w:rPr>
        <w:t xml:space="preserve">Kenyan culture </w:t>
      </w:r>
      <w:r w:rsidR="002138B3">
        <w:rPr>
          <w:lang w:eastAsia="en-GB"/>
        </w:rPr>
        <w:t>may at critical moments become superior to the Constitution of Kenya</w:t>
      </w:r>
      <w:r w:rsidR="00850F1B">
        <w:rPr>
          <w:lang w:eastAsia="en-GB"/>
        </w:rPr>
        <w:t xml:space="preserve"> (2010)</w:t>
      </w:r>
      <w:r w:rsidR="002138B3">
        <w:rPr>
          <w:lang w:eastAsia="en-GB"/>
        </w:rPr>
        <w:t xml:space="preserve">. </w:t>
      </w:r>
    </w:p>
    <w:p w14:paraId="500FDBA3" w14:textId="794BF20C" w:rsidR="008A17F3" w:rsidRPr="00C04776" w:rsidRDefault="008A17F3" w:rsidP="008D5EF5">
      <w:pPr>
        <w:spacing w:after="240"/>
      </w:pPr>
      <w:r w:rsidRPr="00596D3C">
        <w:lastRenderedPageBreak/>
        <w:t xml:space="preserve">A research by Muller </w:t>
      </w:r>
      <w:r w:rsidRPr="00570C12">
        <w:rPr>
          <w:i/>
        </w:rPr>
        <w:t>et al</w:t>
      </w:r>
      <w:r w:rsidRPr="00596D3C">
        <w:t xml:space="preserve">, </w:t>
      </w:r>
      <w:r w:rsidR="002138B3">
        <w:t>(</w:t>
      </w:r>
      <w:r w:rsidRPr="00596D3C">
        <w:t>2021</w:t>
      </w:r>
      <w:r w:rsidR="002138B3">
        <w:t>)</w:t>
      </w:r>
      <w:r w:rsidRPr="00596D3C">
        <w:t xml:space="preserve"> </w:t>
      </w:r>
      <w:r w:rsidR="007E314B" w:rsidRPr="00596D3C">
        <w:t xml:space="preserve">on </w:t>
      </w:r>
      <w:r w:rsidRPr="00596D3C">
        <w:t>assessment of physical and sexual violence experienced by sexual and gender minorities in nine African countries revealed that of the 3798 participants, 23% were gender minorities, 20% were living with HIV, and 18% had been coerced into marriage</w:t>
      </w:r>
      <w:r w:rsidR="002138B3">
        <w:t>. Of all the participants, 56</w:t>
      </w:r>
      <w:r w:rsidR="00B57F8D">
        <w:t xml:space="preserve">% </w:t>
      </w:r>
      <w:r w:rsidR="002138B3">
        <w:t>had</w:t>
      </w:r>
      <w:r w:rsidRPr="00596D3C">
        <w:t xml:space="preserve"> experienced physical or sexual violence in their lifetime, and 29% in the past year.</w:t>
      </w:r>
      <w:r w:rsidRPr="002138B3">
        <w:rPr>
          <w:vertAlign w:val="superscript"/>
        </w:rPr>
        <w:footnoteReference w:id="60"/>
      </w:r>
      <w:r w:rsidRPr="002138B3">
        <w:rPr>
          <w:vertAlign w:val="superscript"/>
        </w:rPr>
        <w:t xml:space="preserve"> </w:t>
      </w:r>
      <w:r w:rsidR="002138B3">
        <w:t xml:space="preserve">These figures are telling: being in the sexual minorities </w:t>
      </w:r>
      <w:r w:rsidR="00B57F8D">
        <w:t xml:space="preserve">as are LGBTQI in Kenya </w:t>
      </w:r>
      <w:r w:rsidR="002138B3">
        <w:t xml:space="preserve">opens </w:t>
      </w:r>
      <w:r w:rsidR="00B57F8D">
        <w:t>them violence</w:t>
      </w:r>
      <w:r w:rsidR="00E53BEA">
        <w:t xml:space="preserve">. </w:t>
      </w:r>
      <w:r w:rsidR="002138B3">
        <w:t xml:space="preserve"> </w:t>
      </w:r>
      <w:r w:rsidR="007E314B" w:rsidRPr="00596D3C">
        <w:t>This violence is based on a culture that criminalises a minority</w:t>
      </w:r>
      <w:r w:rsidR="00E53BEA">
        <w:t xml:space="preserve"> and leads to violation of human rights on account of one has a different sexual expression</w:t>
      </w:r>
      <w:r w:rsidR="007E314B">
        <w:rPr>
          <w:lang w:eastAsia="en-GB"/>
        </w:rPr>
        <w:t xml:space="preserve">. </w:t>
      </w:r>
    </w:p>
    <w:p w14:paraId="0B69CB45" w14:textId="2E31996C" w:rsidR="003977E4" w:rsidRPr="005C3E35" w:rsidRDefault="00E53BEA" w:rsidP="005877F5">
      <w:pPr>
        <w:pStyle w:val="Heading2"/>
      </w:pPr>
      <w:r>
        <w:t xml:space="preserve">The </w:t>
      </w:r>
      <w:r w:rsidR="003977E4">
        <w:t xml:space="preserve">Impact of </w:t>
      </w:r>
      <w:r w:rsidR="003977E4" w:rsidRPr="005C3E35">
        <w:t>Penal Code</w:t>
      </w:r>
      <w:r w:rsidR="003977E4">
        <w:t xml:space="preserve"> on LGBTQ</w:t>
      </w:r>
      <w:r w:rsidR="002D4C95">
        <w:t>I</w:t>
      </w:r>
      <w:r w:rsidR="003977E4">
        <w:t xml:space="preserve"> Rights</w:t>
      </w:r>
    </w:p>
    <w:p w14:paraId="74A7BB61" w14:textId="5EE107EA" w:rsidR="003977E4" w:rsidRPr="005C3E35" w:rsidRDefault="003977E4" w:rsidP="00596D3C">
      <w:r w:rsidRPr="005C3E35">
        <w:t>Henry Odera Oruka</w:t>
      </w:r>
      <w:r w:rsidR="00570C12">
        <w:t xml:space="preserve"> </w:t>
      </w:r>
      <w:r w:rsidR="00E53BEA">
        <w:t>(</w:t>
      </w:r>
      <w:r w:rsidR="00570C12">
        <w:t>1996</w:t>
      </w:r>
      <w:r w:rsidR="00E53BEA">
        <w:t>)</w:t>
      </w:r>
      <w:r w:rsidRPr="005C3E35">
        <w:t xml:space="preserve"> has </w:t>
      </w:r>
      <w:r w:rsidR="00570C12">
        <w:t xml:space="preserve">observed </w:t>
      </w:r>
      <w:r w:rsidRPr="005C3E35">
        <w:t xml:space="preserve">that the question of right is closely related to the question of need, such that to say X has a freedom or right is to imply that X has to </w:t>
      </w:r>
      <w:r w:rsidR="00DD4F55" w:rsidRPr="005C3E35">
        <w:t>fulfil</w:t>
      </w:r>
      <w:r w:rsidRPr="005C3E35">
        <w:t xml:space="preserve"> </w:t>
      </w:r>
      <w:r w:rsidR="008A4CD4">
        <w:t xml:space="preserve">a </w:t>
      </w:r>
      <w:r w:rsidRPr="005C3E35">
        <w:t>certain need.</w:t>
      </w:r>
      <w:r>
        <w:rPr>
          <w:rStyle w:val="FootnoteReference"/>
          <w:szCs w:val="24"/>
        </w:rPr>
        <w:footnoteReference w:id="61"/>
      </w:r>
      <w:r w:rsidRPr="005C3E35">
        <w:t xml:space="preserve"> In discussing needs, Oruka distinguishes between primary and secondary needs.</w:t>
      </w:r>
      <w:r>
        <w:rPr>
          <w:rStyle w:val="FootnoteReference"/>
          <w:szCs w:val="24"/>
        </w:rPr>
        <w:footnoteReference w:id="62"/>
      </w:r>
      <w:r w:rsidRPr="005C3E35">
        <w:t xml:space="preserve"> </w:t>
      </w:r>
      <w:r w:rsidR="00DD4F55">
        <w:t>He categorises s</w:t>
      </w:r>
      <w:r w:rsidRPr="005C3E35">
        <w:t>ex as</w:t>
      </w:r>
      <w:r w:rsidR="00DD4F55">
        <w:t xml:space="preserve"> a primary need only when it is preforming the </w:t>
      </w:r>
      <w:r w:rsidRPr="005C3E35">
        <w:t xml:space="preserve">biological </w:t>
      </w:r>
      <w:r w:rsidR="00DD4F55">
        <w:t xml:space="preserve">function necessary for </w:t>
      </w:r>
      <w:r w:rsidRPr="005C3E35">
        <w:t>procreation. This translates to sexual freedom which falls under economic freedoms. Sex as pleasure is a secondary need hence translates to secondary freedom</w:t>
      </w:r>
      <w:r>
        <w:t>.</w:t>
      </w:r>
      <w:r>
        <w:rPr>
          <w:rStyle w:val="FootnoteReference"/>
          <w:szCs w:val="24"/>
        </w:rPr>
        <w:footnoteReference w:id="63"/>
      </w:r>
      <w:r w:rsidRPr="005C3E35">
        <w:t xml:space="preserve"> He holds that the significant difference between primary and secondary freedoms is that </w:t>
      </w:r>
      <w:r w:rsidR="00FE1586">
        <w:t>‘</w:t>
      </w:r>
      <w:r w:rsidRPr="005C3E35">
        <w:t>…when any of the rights under the primary category comes into conflict with the elements under secondary freedoms, then …secondary freedoms should retreat</w:t>
      </w:r>
      <w:r>
        <w:t>.</w:t>
      </w:r>
      <w:r w:rsidR="00FE1586">
        <w:t>’</w:t>
      </w:r>
      <w:r>
        <w:rPr>
          <w:rStyle w:val="FootnoteReference"/>
          <w:szCs w:val="24"/>
        </w:rPr>
        <w:footnoteReference w:id="64"/>
      </w:r>
      <w:r w:rsidRPr="005C3E35">
        <w:t xml:space="preserve"> </w:t>
      </w:r>
      <w:r w:rsidR="008B289B">
        <w:t>Clearly the LGBTQ</w:t>
      </w:r>
      <w:r w:rsidR="00FE1586">
        <w:t>I</w:t>
      </w:r>
      <w:r w:rsidR="008B289B">
        <w:t xml:space="preserve"> case falls under what O</w:t>
      </w:r>
      <w:r w:rsidR="008A4CD4">
        <w:t xml:space="preserve">ruka </w:t>
      </w:r>
      <w:r w:rsidR="008B289B">
        <w:t xml:space="preserve">is referring to as </w:t>
      </w:r>
      <w:r w:rsidR="008A4CD4">
        <w:t xml:space="preserve">a </w:t>
      </w:r>
      <w:r w:rsidR="008B289B">
        <w:t xml:space="preserve">secondary need that should be fulfilled but </w:t>
      </w:r>
      <w:r w:rsidR="008A4CD4">
        <w:t xml:space="preserve">it is </w:t>
      </w:r>
      <w:r w:rsidR="008B289B">
        <w:t xml:space="preserve">not basic. </w:t>
      </w:r>
      <w:r w:rsidR="008A4CD4">
        <w:t xml:space="preserve">When the </w:t>
      </w:r>
      <w:r w:rsidR="008B289B">
        <w:t>L</w:t>
      </w:r>
      <w:r w:rsidR="000D67EA">
        <w:t>G</w:t>
      </w:r>
      <w:r w:rsidR="008B289B">
        <w:t>BTQ</w:t>
      </w:r>
      <w:r w:rsidR="000D67EA">
        <w:t>I</w:t>
      </w:r>
      <w:r w:rsidR="008B289B">
        <w:t xml:space="preserve"> community enjoy this right</w:t>
      </w:r>
      <w:r w:rsidR="008A4CD4">
        <w:t xml:space="preserve"> it does</w:t>
      </w:r>
      <w:r w:rsidR="008B289B">
        <w:t xml:space="preserve"> not infringe on the rights of </w:t>
      </w:r>
      <w:r w:rsidR="008A4CD4">
        <w:t xml:space="preserve">others, neither is it </w:t>
      </w:r>
      <w:r w:rsidR="008B289B">
        <w:t xml:space="preserve">injurious. Those </w:t>
      </w:r>
      <w:r w:rsidR="008A4CD4">
        <w:t>having different sexual expressions are</w:t>
      </w:r>
      <w:r w:rsidR="008B289B">
        <w:t xml:space="preserve"> free and consenting adults. Granted the constitutional requirement at article 27 that: ‘the State shall not discriminate directly or indirectly against any person on any ground, including race, sex, pregnancy, marital status, health status, ethnic or social origin, colour, age, disability, religion, conscience, </w:t>
      </w:r>
      <w:r w:rsidR="008B289B">
        <w:lastRenderedPageBreak/>
        <w:t>belief, culture, dress, language or birth’</w:t>
      </w:r>
      <w:r w:rsidR="006766A4">
        <w:rPr>
          <w:rStyle w:val="FootnoteReference"/>
        </w:rPr>
        <w:footnoteReference w:id="65"/>
      </w:r>
      <w:r w:rsidR="008B289B">
        <w:t xml:space="preserve"> then it becomes obvious that this negates the dictates of the Penal Code C</w:t>
      </w:r>
      <w:r w:rsidR="006766A4">
        <w:t>ap</w:t>
      </w:r>
      <w:r w:rsidR="008B289B">
        <w:t xml:space="preserve"> 63 of the Laws of Kenya. </w:t>
      </w:r>
      <w:r w:rsidRPr="005C3E35">
        <w:t xml:space="preserve">However </w:t>
      </w:r>
      <w:r w:rsidR="006766A4">
        <w:t>‘</w:t>
      </w:r>
      <w:r w:rsidRPr="005C3E35">
        <w:t>if sexual freedom as pleasure does not cause anyone harm, then I ought to be free in the most absolute sense to exercise it.</w:t>
      </w:r>
      <w:r w:rsidR="006766A4">
        <w:rPr>
          <w:rStyle w:val="FootnoteReference"/>
          <w:szCs w:val="24"/>
        </w:rPr>
        <w:footnoteReference w:id="66"/>
      </w:r>
      <w:r w:rsidRPr="005C3E35">
        <w:t xml:space="preserve"> A number of questions may arise here:</w:t>
      </w:r>
    </w:p>
    <w:p w14:paraId="61CC639C" w14:textId="79F99610" w:rsidR="003977E4" w:rsidRPr="005C3E35" w:rsidRDefault="008B289B" w:rsidP="00474B3E">
      <w:pPr>
        <w:pStyle w:val="ListParagraph"/>
        <w:numPr>
          <w:ilvl w:val="0"/>
          <w:numId w:val="32"/>
        </w:numPr>
      </w:pPr>
      <w:r>
        <w:t>Did Sections 162 (a</w:t>
      </w:r>
      <w:r w:rsidR="00260A30">
        <w:t xml:space="preserve"> </w:t>
      </w:r>
      <w:r>
        <w:t>&amp;</w:t>
      </w:r>
      <w:r w:rsidR="00260A30">
        <w:t xml:space="preserve"> </w:t>
      </w:r>
      <w:r w:rsidR="003977E4" w:rsidRPr="005C3E35">
        <w:t>c) and 165 envisage any harm to the community when individuals exercise the</w:t>
      </w:r>
      <w:r w:rsidR="008A4CD4">
        <w:t>ir</w:t>
      </w:r>
      <w:r w:rsidR="003977E4" w:rsidRPr="005C3E35">
        <w:t xml:space="preserve"> sexual rights?</w:t>
      </w:r>
    </w:p>
    <w:p w14:paraId="79163CBF" w14:textId="77777777" w:rsidR="003977E4" w:rsidRPr="005C3E35" w:rsidRDefault="003977E4" w:rsidP="00474B3E">
      <w:pPr>
        <w:pStyle w:val="ListParagraph"/>
        <w:numPr>
          <w:ilvl w:val="0"/>
          <w:numId w:val="32"/>
        </w:numPr>
      </w:pPr>
      <w:r w:rsidRPr="005C3E35">
        <w:t xml:space="preserve">What informed this law? </w:t>
      </w:r>
    </w:p>
    <w:p w14:paraId="67CE2F54" w14:textId="02C04A98" w:rsidR="003977E4" w:rsidRDefault="003977E4" w:rsidP="005D0F7E">
      <w:pPr>
        <w:pStyle w:val="ListParagraph"/>
        <w:numPr>
          <w:ilvl w:val="0"/>
          <w:numId w:val="32"/>
        </w:numPr>
      </w:pPr>
      <w:r w:rsidRPr="005C3E35">
        <w:t>Is sex only practiced for procreation? Aren’t there other forms of sexual expression available to animal</w:t>
      </w:r>
      <w:r w:rsidR="008A4CD4">
        <w:t>s</w:t>
      </w:r>
      <w:r w:rsidRPr="005C3E35">
        <w:t xml:space="preserve"> and</w:t>
      </w:r>
      <w:r w:rsidR="00260A30">
        <w:t xml:space="preserve"> </w:t>
      </w:r>
      <w:r w:rsidRPr="005C3E35">
        <w:t>specifically human species?</w:t>
      </w:r>
    </w:p>
    <w:p w14:paraId="6BFA8992" w14:textId="54451363" w:rsidR="003977E4" w:rsidRPr="005C3E35" w:rsidRDefault="003977E4" w:rsidP="00596D3C">
      <w:r w:rsidRPr="005C3E35">
        <w:t>In its application</w:t>
      </w:r>
      <w:r w:rsidR="005D0F7E">
        <w:t>,</w:t>
      </w:r>
      <w:r w:rsidRPr="005C3E35">
        <w:t xml:space="preserve"> the Penal code offends a number of rights that individuals should </w:t>
      </w:r>
      <w:r w:rsidR="005D0F7E">
        <w:t xml:space="preserve">be </w:t>
      </w:r>
      <w:r w:rsidRPr="005C3E35">
        <w:t>left to enjoy</w:t>
      </w:r>
      <w:r w:rsidR="005D0F7E">
        <w:t xml:space="preserve"> as presented in the UDHR accruing to all human beings.</w:t>
      </w:r>
      <w:r w:rsidRPr="005C3E35">
        <w:t xml:space="preserve"> Among these are: </w:t>
      </w:r>
    </w:p>
    <w:p w14:paraId="057CA100" w14:textId="77777777" w:rsidR="003977E4" w:rsidRPr="005C3E35" w:rsidRDefault="003977E4" w:rsidP="00474B3E">
      <w:pPr>
        <w:pStyle w:val="ListParagraph"/>
        <w:numPr>
          <w:ilvl w:val="0"/>
          <w:numId w:val="33"/>
        </w:numPr>
      </w:pPr>
      <w:r w:rsidRPr="005C3E35">
        <w:t>Privacy: Consensual sexual conduct between adults in private without external intrusion</w:t>
      </w:r>
      <w:r w:rsidR="009E311C">
        <w:t>;</w:t>
      </w:r>
    </w:p>
    <w:p w14:paraId="19393353" w14:textId="77777777" w:rsidR="003977E4" w:rsidRPr="005C3E35" w:rsidRDefault="003977E4" w:rsidP="00474B3E">
      <w:pPr>
        <w:pStyle w:val="ListParagraph"/>
        <w:numPr>
          <w:ilvl w:val="0"/>
          <w:numId w:val="33"/>
        </w:numPr>
      </w:pPr>
      <w:r w:rsidRPr="005C3E35">
        <w:t>Dignity: Inhuman treatment e.g. public stripping, forced anal testing, denied personhood, right against self-incrimination</w:t>
      </w:r>
      <w:r w:rsidR="009E311C">
        <w:t>;</w:t>
      </w:r>
    </w:p>
    <w:p w14:paraId="4272C514" w14:textId="77777777" w:rsidR="003977E4" w:rsidRPr="005C3E35" w:rsidRDefault="003977E4" w:rsidP="00474B3E">
      <w:pPr>
        <w:pStyle w:val="ListParagraph"/>
        <w:numPr>
          <w:ilvl w:val="0"/>
          <w:numId w:val="33"/>
        </w:numPr>
      </w:pPr>
      <w:r w:rsidRPr="005C3E35">
        <w:t xml:space="preserve">Health: positive and respective approach to sexuality and </w:t>
      </w:r>
      <w:r w:rsidR="00474B3E" w:rsidRPr="005C3E35">
        <w:t>sexual relationships</w:t>
      </w:r>
      <w:r w:rsidRPr="005C3E35">
        <w:t xml:space="preserve"> as well as possibility of having pleasurable and safe sexual experiences free from coercion, discrimination and violence</w:t>
      </w:r>
      <w:r w:rsidR="009E311C">
        <w:t>;</w:t>
      </w:r>
    </w:p>
    <w:p w14:paraId="47FF6682" w14:textId="77777777" w:rsidR="002D4C95" w:rsidRDefault="003977E4" w:rsidP="00474B3E">
      <w:pPr>
        <w:pStyle w:val="ListParagraph"/>
        <w:numPr>
          <w:ilvl w:val="0"/>
          <w:numId w:val="33"/>
        </w:numPr>
      </w:pPr>
      <w:r w:rsidRPr="005C3E35">
        <w:t>Equality and non-discrimination</w:t>
      </w:r>
      <w:r w:rsidR="009E311C">
        <w:t>; and</w:t>
      </w:r>
      <w:r w:rsidR="002D4C95">
        <w:t>,</w:t>
      </w:r>
    </w:p>
    <w:p w14:paraId="2C0C65B1" w14:textId="77777777" w:rsidR="002D4C95" w:rsidRPr="005C3E35" w:rsidRDefault="002D4C95" w:rsidP="00474B3E">
      <w:pPr>
        <w:pStyle w:val="ListParagraph"/>
        <w:numPr>
          <w:ilvl w:val="0"/>
          <w:numId w:val="33"/>
        </w:numPr>
      </w:pPr>
      <w:r>
        <w:t>Freedom and security of the person.</w:t>
      </w:r>
    </w:p>
    <w:p w14:paraId="72A5F052" w14:textId="4CBB3EC3" w:rsidR="002D4C95" w:rsidRDefault="002D4C95" w:rsidP="00596D3C">
      <w:r w:rsidRPr="00E264AB">
        <w:t xml:space="preserve">Below I </w:t>
      </w:r>
      <w:r w:rsidR="005D0F7E">
        <w:t xml:space="preserve">seek to express further arguments within </w:t>
      </w:r>
      <w:r w:rsidR="00E264AB" w:rsidRPr="00E264AB">
        <w:t xml:space="preserve">the doctrine of the supremacy of the constitution. </w:t>
      </w:r>
    </w:p>
    <w:p w14:paraId="63015C65" w14:textId="77777777" w:rsidR="00E264AB" w:rsidRPr="00E264AB" w:rsidRDefault="00E264AB" w:rsidP="00CE2E77">
      <w:pPr>
        <w:spacing w:line="240" w:lineRule="auto"/>
      </w:pPr>
    </w:p>
    <w:p w14:paraId="46426A07" w14:textId="77777777" w:rsidR="00260A30" w:rsidRDefault="00260A30" w:rsidP="000273F3">
      <w:pPr>
        <w:pStyle w:val="Heading2"/>
      </w:pPr>
      <w:r>
        <w:t>The Supremacy of the Constitution</w:t>
      </w:r>
    </w:p>
    <w:p w14:paraId="2A749A86" w14:textId="56CD2859" w:rsidR="008B1DD2" w:rsidRDefault="000273F3" w:rsidP="0070415C">
      <w:pPr>
        <w:spacing w:after="240"/>
      </w:pPr>
      <w:r w:rsidRPr="00596D3C">
        <w:t xml:space="preserve">The Constitution of Kenya </w:t>
      </w:r>
      <w:r w:rsidR="005D0F7E">
        <w:t>(</w:t>
      </w:r>
      <w:r w:rsidRPr="00596D3C">
        <w:t>201</w:t>
      </w:r>
      <w:r w:rsidR="009456E6" w:rsidRPr="00596D3C">
        <w:t>0</w:t>
      </w:r>
      <w:r w:rsidR="005D0F7E">
        <w:t>)</w:t>
      </w:r>
      <w:r w:rsidRPr="00596D3C">
        <w:t xml:space="preserve"> declares that: ‘[t]his Constitution is the supreme law of the Republic and bind</w:t>
      </w:r>
      <w:r w:rsidR="005D0F7E">
        <w:t>ing</w:t>
      </w:r>
      <w:r w:rsidRPr="00596D3C">
        <w:t xml:space="preserve"> all persons and all State organs at both levels of government.’</w:t>
      </w:r>
      <w:r w:rsidRPr="005D0F7E">
        <w:rPr>
          <w:vertAlign w:val="superscript"/>
        </w:rPr>
        <w:footnoteReference w:id="67"/>
      </w:r>
      <w:r w:rsidRPr="00596D3C">
        <w:t xml:space="preserve"> A constitution is the fundamental and supreme law of a</w:t>
      </w:r>
      <w:r w:rsidR="008B7411" w:rsidRPr="00596D3C">
        <w:t>ny nation</w:t>
      </w:r>
      <w:r w:rsidR="009E311C" w:rsidRPr="00596D3C">
        <w:t xml:space="preserve"> </w:t>
      </w:r>
      <w:r w:rsidR="008B7411" w:rsidRPr="00596D3C">
        <w:t xml:space="preserve">hence </w:t>
      </w:r>
      <w:r w:rsidR="009E311C" w:rsidRPr="00596D3C">
        <w:t xml:space="preserve">any law that conflicts with </w:t>
      </w:r>
      <w:r w:rsidR="008B7411" w:rsidRPr="00596D3C">
        <w:t xml:space="preserve">the law as laid down in the constitution is </w:t>
      </w:r>
      <w:r w:rsidR="009E311C" w:rsidRPr="00596D3C">
        <w:t xml:space="preserve">void to </w:t>
      </w:r>
      <w:r w:rsidR="009E311C" w:rsidRPr="00596D3C">
        <w:lastRenderedPageBreak/>
        <w:t>the extent of the inconsistency</w:t>
      </w:r>
      <w:r w:rsidR="008B7411" w:rsidRPr="00596D3C">
        <w:t>.</w:t>
      </w:r>
      <w:r w:rsidR="009E311C" w:rsidRPr="005D0F7E">
        <w:rPr>
          <w:vertAlign w:val="superscript"/>
        </w:rPr>
        <w:footnoteReference w:id="68"/>
      </w:r>
      <w:r w:rsidRPr="00596D3C">
        <w:t xml:space="preserve"> </w:t>
      </w:r>
      <w:r w:rsidR="008B7411" w:rsidRPr="00596D3C">
        <w:t xml:space="preserve">A nation’s </w:t>
      </w:r>
      <w:r w:rsidRPr="00596D3C">
        <w:t>constitution</w:t>
      </w:r>
      <w:r w:rsidR="008B7411" w:rsidRPr="00596D3C">
        <w:t xml:space="preserve"> </w:t>
      </w:r>
      <w:r w:rsidR="008B1DD2">
        <w:t>is the</w:t>
      </w:r>
      <w:r w:rsidRPr="00596D3C">
        <w:t xml:space="preserve"> mother of all laws because other laws </w:t>
      </w:r>
      <w:r w:rsidR="005D0F7E">
        <w:t>emerge</w:t>
      </w:r>
      <w:r w:rsidRPr="00596D3C">
        <w:t xml:space="preserve"> from it and </w:t>
      </w:r>
      <w:r w:rsidR="005D0F7E">
        <w:t>therein lies their validation</w:t>
      </w:r>
      <w:r w:rsidRPr="00596D3C">
        <w:t>. It is in the constitution that one finds a framework for governance that defines how the government is formed and run. In general terms</w:t>
      </w:r>
      <w:r w:rsidR="009E311C" w:rsidRPr="00596D3C">
        <w:t>,</w:t>
      </w:r>
      <w:r w:rsidRPr="00596D3C">
        <w:t xml:space="preserve"> it is taken that</w:t>
      </w:r>
      <w:r>
        <w:t xml:space="preserve"> </w:t>
      </w:r>
      <w:r w:rsidRPr="00596D3C">
        <w:t>constitutional supremacy abhors the idea that any other law can be</w:t>
      </w:r>
      <w:r w:rsidR="008B7411" w:rsidRPr="00596D3C">
        <w:t xml:space="preserve"> exist within the same jurisdiction when it is </w:t>
      </w:r>
      <w:r w:rsidRPr="00596D3C">
        <w:t>inconsistent or contradict the dictates of a constitution</w:t>
      </w:r>
      <w:r w:rsidR="008B7411" w:rsidRPr="00596D3C">
        <w:t xml:space="preserve">. </w:t>
      </w:r>
      <w:r w:rsidRPr="00596D3C">
        <w:t>As</w:t>
      </w:r>
      <w:r w:rsidR="008B7411" w:rsidRPr="00596D3C">
        <w:t xml:space="preserve"> things stand in Kenya</w:t>
      </w:r>
      <w:r w:rsidR="009E311C" w:rsidRPr="00596D3C">
        <w:t>,</w:t>
      </w:r>
      <w:r w:rsidRPr="00596D3C">
        <w:t xml:space="preserve"> the </w:t>
      </w:r>
      <w:r w:rsidR="009E311C" w:rsidRPr="00596D3C">
        <w:t>P</w:t>
      </w:r>
      <w:r w:rsidRPr="00596D3C">
        <w:t xml:space="preserve">enal </w:t>
      </w:r>
      <w:r w:rsidR="009E311C" w:rsidRPr="00596D3C">
        <w:t>C</w:t>
      </w:r>
      <w:r w:rsidRPr="00596D3C">
        <w:t xml:space="preserve">ode </w:t>
      </w:r>
      <w:r w:rsidR="008B7411" w:rsidRPr="00596D3C">
        <w:t>Sections 162, 163 &amp; 165 stand in contradiction to th</w:t>
      </w:r>
      <w:r w:rsidRPr="00596D3C">
        <w:t>e Constitution</w:t>
      </w:r>
      <w:r w:rsidR="008B7411" w:rsidRPr="00596D3C">
        <w:t xml:space="preserve">, and their application is clearly unconstitutional. </w:t>
      </w:r>
      <w:r w:rsidR="008B1DD2">
        <w:t xml:space="preserve">However, the </w:t>
      </w:r>
      <w:r w:rsidR="005C7E64" w:rsidRPr="00596D3C">
        <w:t>High Court in Kenya holds otherwise.</w:t>
      </w:r>
    </w:p>
    <w:p w14:paraId="7CEA787D" w14:textId="31FB6009" w:rsidR="005C7E64" w:rsidRDefault="005C7E64" w:rsidP="000273F3">
      <w:r w:rsidRPr="00596D3C">
        <w:t xml:space="preserve">In the </w:t>
      </w:r>
      <w:r w:rsidR="008B1DD2">
        <w:t>example of the case of Eric Gitari</w:t>
      </w:r>
      <w:r w:rsidRPr="00596D3C">
        <w:t xml:space="preserve"> Vs the Attorney </w:t>
      </w:r>
      <w:r w:rsidR="00FE2637" w:rsidRPr="00596D3C">
        <w:t>G</w:t>
      </w:r>
      <w:r w:rsidRPr="00596D3C">
        <w:t>eneral</w:t>
      </w:r>
      <w:r w:rsidR="008B1DD2">
        <w:t>,</w:t>
      </w:r>
      <w:r w:rsidR="00FE2637" w:rsidRPr="00596D3C">
        <w:t xml:space="preserve"> the Court at paragraph 244</w:t>
      </w:r>
      <w:r w:rsidRPr="00596D3C">
        <w:t xml:space="preserve"> it observed</w:t>
      </w:r>
      <w:r w:rsidR="00582FE7" w:rsidRPr="00596D3C">
        <w:t xml:space="preserve"> that</w:t>
      </w:r>
      <w:r w:rsidRPr="00596D3C">
        <w:t>:</w:t>
      </w:r>
      <w:r>
        <w:t xml:space="preserve"> </w:t>
      </w:r>
      <w:r w:rsidR="000273F3">
        <w:t xml:space="preserve"> </w:t>
      </w:r>
    </w:p>
    <w:p w14:paraId="4A1D4D78" w14:textId="77777777" w:rsidR="00FE2637" w:rsidRPr="009C0D31" w:rsidRDefault="00FE2637" w:rsidP="008D5EF5">
      <w:pPr>
        <w:pStyle w:val="Indent1"/>
      </w:pPr>
      <w:r w:rsidRPr="009C0D31">
        <w:t>The Constitution gives prominence to national values and principles of governance which include human dignity, equity, social justice, inclusiveness, equality, human rights</w:t>
      </w:r>
      <w:r w:rsidR="000F79BD">
        <w:rPr>
          <w:rStyle w:val="FootnoteReference"/>
        </w:rPr>
        <w:footnoteReference w:id="69"/>
      </w:r>
      <w:r w:rsidRPr="009C0D31">
        <w:t xml:space="preserve"> and Rule of law</w:t>
      </w:r>
      <w:r w:rsidR="00582FE7">
        <w:rPr>
          <w:rStyle w:val="FootnoteReference"/>
        </w:rPr>
        <w:footnoteReference w:id="70"/>
      </w:r>
      <w:r w:rsidRPr="009C0D31">
        <w:t xml:space="preserve"> Leadership and Integrity,</w:t>
      </w:r>
      <w:r>
        <w:rPr>
          <w:rStyle w:val="FootnoteReference"/>
        </w:rPr>
        <w:footnoteReference w:id="71"/>
      </w:r>
      <w:r w:rsidRPr="009C0D31">
        <w:t xml:space="preserve"> Values and Principles of Public Service,</w:t>
      </w:r>
      <w:r w:rsidR="000F79BD">
        <w:rPr>
          <w:rStyle w:val="FootnoteReference"/>
        </w:rPr>
        <w:footnoteReference w:id="72"/>
      </w:r>
      <w:r w:rsidRPr="009C0D31">
        <w:t xml:space="preserve"> entrenchment of exercise of Judicial authority in the Constitution</w:t>
      </w:r>
      <w:r w:rsidR="000F79BD">
        <w:rPr>
          <w:rStyle w:val="FootnoteReference"/>
        </w:rPr>
        <w:footnoteReference w:id="73"/>
      </w:r>
      <w:r w:rsidRPr="009C0D31">
        <w:t xml:space="preserve"> and Independence of the Judiciary</w:t>
      </w:r>
      <w:r w:rsidR="000F79BD">
        <w:rPr>
          <w:rStyle w:val="FootnoteReference"/>
        </w:rPr>
        <w:footnoteReference w:id="74"/>
      </w:r>
      <w:r w:rsidRPr="009C0D31">
        <w:t xml:space="preserve"> and confers sovereignty to the people of Kenya to be exercised on their behalf  by State Organs to perform their functions in accordance with the Constitution.</w:t>
      </w:r>
      <w:r w:rsidR="00582FE7">
        <w:rPr>
          <w:rStyle w:val="FootnoteReference"/>
        </w:rPr>
        <w:footnoteReference w:id="75"/>
      </w:r>
    </w:p>
    <w:p w14:paraId="6131CA63" w14:textId="77777777" w:rsidR="00FE2637" w:rsidRPr="009C0D31" w:rsidRDefault="00FE2637" w:rsidP="005E4D55">
      <w:pPr>
        <w:pStyle w:val="Indent1"/>
      </w:pPr>
    </w:p>
    <w:p w14:paraId="4E2E10FB" w14:textId="75BDE5FF" w:rsidR="007F2094" w:rsidRDefault="00582FE7" w:rsidP="00596D3C">
      <w:pPr>
        <w:rPr>
          <w:rFonts w:cs="Calibri"/>
          <w:color w:val="000000"/>
        </w:rPr>
      </w:pPr>
      <w:r>
        <w:t xml:space="preserve">In </w:t>
      </w:r>
      <w:r w:rsidR="007F2094">
        <w:t>making</w:t>
      </w:r>
      <w:r>
        <w:t xml:space="preserve"> this observation the LGBQI </w:t>
      </w:r>
      <w:r w:rsidR="008B1DD2">
        <w:t xml:space="preserve">community </w:t>
      </w:r>
      <w:r>
        <w:t xml:space="preserve">had a lot of hope, that finally the courts were about to dispense justice. </w:t>
      </w:r>
      <w:r w:rsidR="007F2094">
        <w:t>This is what courts all over the world are called upon to do</w:t>
      </w:r>
      <w:r w:rsidR="008B1DD2">
        <w:t>,</w:t>
      </w:r>
      <w:r w:rsidRPr="003B77B5">
        <w:t xml:space="preserve"> bridg</w:t>
      </w:r>
      <w:r w:rsidR="007F2094">
        <w:t xml:space="preserve">ing </w:t>
      </w:r>
      <w:r w:rsidRPr="003B77B5">
        <w:t xml:space="preserve">the gap between what the </w:t>
      </w:r>
      <w:r w:rsidR="007F2094" w:rsidRPr="003B77B5">
        <w:t>law</w:t>
      </w:r>
      <w:r w:rsidR="007F2094">
        <w:t xml:space="preserve"> states</w:t>
      </w:r>
      <w:r w:rsidRPr="003B77B5">
        <w:t xml:space="preserve"> and what it is intended to be. </w:t>
      </w:r>
      <w:r w:rsidR="007F2094">
        <w:t xml:space="preserve">However, at paragraph </w:t>
      </w:r>
      <w:r w:rsidR="007F2094">
        <w:rPr>
          <w:rFonts w:cs="Calibri"/>
          <w:color w:val="000000"/>
          <w:spacing w:val="1"/>
        </w:rPr>
        <w:t>288 o</w:t>
      </w:r>
      <w:r w:rsidR="007F2094">
        <w:rPr>
          <w:rFonts w:cs="Calibri"/>
          <w:color w:val="000000"/>
        </w:rPr>
        <w:t>f the judgement, the court made a finding that Kenya</w:t>
      </w:r>
      <w:r w:rsidR="008B1DD2">
        <w:rPr>
          <w:rFonts w:cs="Calibri"/>
          <w:color w:val="000000"/>
        </w:rPr>
        <w:t>’s</w:t>
      </w:r>
      <w:r w:rsidR="007F2094">
        <w:rPr>
          <w:rFonts w:cs="Calibri"/>
          <w:color w:val="000000"/>
        </w:rPr>
        <w:t xml:space="preserve"> </w:t>
      </w:r>
      <w:r w:rsidR="007F2094">
        <w:rPr>
          <w:rFonts w:cs="Calibri"/>
          <w:color w:val="000000"/>
          <w:spacing w:val="-1"/>
        </w:rPr>
        <w:t>C</w:t>
      </w:r>
      <w:r w:rsidR="007F2094">
        <w:rPr>
          <w:rFonts w:cs="Calibri"/>
          <w:color w:val="000000"/>
          <w:spacing w:val="1"/>
        </w:rPr>
        <w:t>on</w:t>
      </w:r>
      <w:r w:rsidR="007F2094">
        <w:rPr>
          <w:rFonts w:cs="Calibri"/>
          <w:color w:val="000000"/>
          <w:spacing w:val="-3"/>
        </w:rPr>
        <w:t>s</w:t>
      </w:r>
      <w:r w:rsidR="007F2094">
        <w:rPr>
          <w:rFonts w:cs="Calibri"/>
          <w:color w:val="000000"/>
          <w:spacing w:val="1"/>
        </w:rPr>
        <w:t>t</w:t>
      </w:r>
      <w:r w:rsidR="007F2094">
        <w:rPr>
          <w:rFonts w:cs="Calibri"/>
          <w:color w:val="000000"/>
        </w:rPr>
        <w:t>i</w:t>
      </w:r>
      <w:r w:rsidR="007F2094">
        <w:rPr>
          <w:rFonts w:cs="Calibri"/>
          <w:color w:val="000000"/>
          <w:spacing w:val="-1"/>
        </w:rPr>
        <w:t>t</w:t>
      </w:r>
      <w:r w:rsidR="007F2094">
        <w:rPr>
          <w:rFonts w:cs="Calibri"/>
          <w:color w:val="000000"/>
          <w:spacing w:val="1"/>
        </w:rPr>
        <w:t>ut</w:t>
      </w:r>
      <w:r w:rsidR="007F2094">
        <w:rPr>
          <w:rFonts w:cs="Calibri"/>
          <w:color w:val="000000"/>
          <w:spacing w:val="-2"/>
        </w:rPr>
        <w:t>i</w:t>
      </w:r>
      <w:r w:rsidR="007F2094">
        <w:rPr>
          <w:rFonts w:cs="Calibri"/>
          <w:color w:val="000000"/>
          <w:spacing w:val="1"/>
        </w:rPr>
        <w:t>o</w:t>
      </w:r>
      <w:r w:rsidR="007F2094">
        <w:rPr>
          <w:rFonts w:cs="Calibri"/>
          <w:color w:val="000000"/>
        </w:rPr>
        <w:t>n</w:t>
      </w:r>
      <w:r w:rsidR="007F2094">
        <w:rPr>
          <w:rFonts w:cs="Calibri"/>
          <w:color w:val="000000"/>
          <w:spacing w:val="2"/>
        </w:rPr>
        <w:t xml:space="preserve"> ‘</w:t>
      </w:r>
      <w:r w:rsidR="007F2094">
        <w:rPr>
          <w:rFonts w:cs="Calibri"/>
          <w:color w:val="000000"/>
          <w:spacing w:val="-2"/>
        </w:rPr>
        <w:t>o</w:t>
      </w:r>
      <w:r w:rsidR="007F2094">
        <w:rPr>
          <w:rFonts w:cs="Calibri"/>
          <w:color w:val="000000"/>
          <w:spacing w:val="1"/>
        </w:rPr>
        <w:t>n</w:t>
      </w:r>
      <w:r w:rsidR="007F2094">
        <w:rPr>
          <w:rFonts w:cs="Calibri"/>
          <w:color w:val="000000"/>
        </w:rPr>
        <w:t xml:space="preserve">ly </w:t>
      </w:r>
      <w:r w:rsidR="007F2094">
        <w:rPr>
          <w:rFonts w:cs="Calibri"/>
          <w:color w:val="000000"/>
          <w:spacing w:val="1"/>
        </w:rPr>
        <w:t>p</w:t>
      </w:r>
      <w:r w:rsidR="007F2094">
        <w:rPr>
          <w:rFonts w:cs="Calibri"/>
          <w:color w:val="000000"/>
        </w:rPr>
        <w:t>r</w:t>
      </w:r>
      <w:r w:rsidR="007F2094">
        <w:rPr>
          <w:rFonts w:cs="Calibri"/>
          <w:color w:val="000000"/>
          <w:spacing w:val="-2"/>
        </w:rPr>
        <w:t>o</w:t>
      </w:r>
      <w:r w:rsidR="007F2094">
        <w:rPr>
          <w:rFonts w:cs="Calibri"/>
          <w:color w:val="000000"/>
          <w:spacing w:val="1"/>
        </w:rPr>
        <w:t>h</w:t>
      </w:r>
      <w:r w:rsidR="007F2094">
        <w:rPr>
          <w:rFonts w:cs="Calibri"/>
          <w:color w:val="000000"/>
        </w:rPr>
        <w:t>i</w:t>
      </w:r>
      <w:r w:rsidR="007F2094">
        <w:rPr>
          <w:rFonts w:cs="Calibri"/>
          <w:color w:val="000000"/>
          <w:spacing w:val="1"/>
        </w:rPr>
        <w:t>b</w:t>
      </w:r>
      <w:r w:rsidR="007F2094">
        <w:rPr>
          <w:rFonts w:cs="Calibri"/>
          <w:color w:val="000000"/>
          <w:spacing w:val="-2"/>
        </w:rPr>
        <w:t>i</w:t>
      </w:r>
      <w:r w:rsidR="007F2094">
        <w:rPr>
          <w:rFonts w:cs="Calibri"/>
          <w:color w:val="000000"/>
          <w:spacing w:val="1"/>
        </w:rPr>
        <w:t>t</w:t>
      </w:r>
      <w:r w:rsidR="007F2094">
        <w:rPr>
          <w:rFonts w:cs="Calibri"/>
          <w:color w:val="000000"/>
        </w:rPr>
        <w:t xml:space="preserve">s </w:t>
      </w:r>
      <w:r w:rsidR="007F2094">
        <w:rPr>
          <w:rFonts w:cs="Calibri"/>
          <w:color w:val="000000"/>
          <w:spacing w:val="1"/>
        </w:rPr>
        <w:t>u</w:t>
      </w:r>
      <w:r w:rsidR="007F2094">
        <w:rPr>
          <w:rFonts w:cs="Calibri"/>
          <w:color w:val="000000"/>
          <w:spacing w:val="-1"/>
        </w:rPr>
        <w:t>n</w:t>
      </w:r>
      <w:r w:rsidR="007F2094">
        <w:rPr>
          <w:rFonts w:cs="Calibri"/>
          <w:color w:val="000000"/>
          <w:spacing w:val="1"/>
        </w:rPr>
        <w:t>f</w:t>
      </w:r>
      <w:r w:rsidR="007F2094">
        <w:rPr>
          <w:rFonts w:cs="Calibri"/>
          <w:color w:val="000000"/>
        </w:rPr>
        <w:t xml:space="preserve">air </w:t>
      </w:r>
      <w:r w:rsidR="007F2094">
        <w:rPr>
          <w:rFonts w:cs="Calibri"/>
          <w:color w:val="000000"/>
          <w:spacing w:val="1"/>
        </w:rPr>
        <w:t>d</w:t>
      </w:r>
      <w:r w:rsidR="007F2094">
        <w:rPr>
          <w:rFonts w:cs="Calibri"/>
          <w:color w:val="000000"/>
        </w:rPr>
        <w:t>is</w:t>
      </w:r>
      <w:r w:rsidR="007F2094">
        <w:rPr>
          <w:rFonts w:cs="Calibri"/>
          <w:color w:val="000000"/>
          <w:spacing w:val="-1"/>
        </w:rPr>
        <w:t>c</w:t>
      </w:r>
      <w:r w:rsidR="007F2094">
        <w:rPr>
          <w:rFonts w:cs="Calibri"/>
          <w:color w:val="000000"/>
        </w:rPr>
        <w:t>rimi</w:t>
      </w:r>
      <w:r w:rsidR="007F2094">
        <w:rPr>
          <w:rFonts w:cs="Calibri"/>
          <w:color w:val="000000"/>
          <w:spacing w:val="1"/>
        </w:rPr>
        <w:t>n</w:t>
      </w:r>
      <w:r w:rsidR="007F2094">
        <w:rPr>
          <w:rFonts w:cs="Calibri"/>
          <w:color w:val="000000"/>
        </w:rPr>
        <w:t>a</w:t>
      </w:r>
      <w:r w:rsidR="007F2094">
        <w:rPr>
          <w:rFonts w:cs="Calibri"/>
          <w:color w:val="000000"/>
          <w:spacing w:val="-1"/>
        </w:rPr>
        <w:t>t</w:t>
      </w:r>
      <w:r w:rsidR="007F2094">
        <w:rPr>
          <w:rFonts w:cs="Calibri"/>
          <w:color w:val="000000"/>
        </w:rPr>
        <w:t>i</w:t>
      </w:r>
      <w:r w:rsidR="007F2094">
        <w:rPr>
          <w:rFonts w:cs="Calibri"/>
          <w:color w:val="000000"/>
          <w:spacing w:val="1"/>
        </w:rPr>
        <w:t>on</w:t>
      </w:r>
      <w:r w:rsidR="007F2094">
        <w:rPr>
          <w:rFonts w:cs="Calibri"/>
          <w:color w:val="000000"/>
        </w:rPr>
        <w:t>.’ And by unfair discrimination it meant:</w:t>
      </w:r>
    </w:p>
    <w:p w14:paraId="584E3EEE" w14:textId="77777777" w:rsidR="007F2094" w:rsidRDefault="007F2094" w:rsidP="008D5EF5">
      <w:pPr>
        <w:pStyle w:val="Indent1"/>
      </w:pPr>
      <w:r>
        <w:rPr>
          <w:spacing w:val="3"/>
        </w:rPr>
        <w:t xml:space="preserve">… </w:t>
      </w:r>
      <w:r>
        <w:rPr>
          <w:spacing w:val="1"/>
        </w:rPr>
        <w:t>d</w:t>
      </w:r>
      <w:r>
        <w:t>i</w:t>
      </w:r>
      <w:r>
        <w:rPr>
          <w:spacing w:val="-1"/>
        </w:rPr>
        <w:t>f</w:t>
      </w:r>
      <w:r>
        <w:rPr>
          <w:spacing w:val="1"/>
        </w:rPr>
        <w:t>fe</w:t>
      </w:r>
      <w:r>
        <w:t>r</w:t>
      </w:r>
      <w:r>
        <w:rPr>
          <w:spacing w:val="-2"/>
        </w:rPr>
        <w:t>e</w:t>
      </w:r>
      <w:r>
        <w:rPr>
          <w:spacing w:val="1"/>
        </w:rPr>
        <w:t>nt</w:t>
      </w:r>
      <w:r>
        <w:t>ial</w:t>
      </w:r>
      <w:r>
        <w:rPr>
          <w:spacing w:val="1"/>
        </w:rPr>
        <w:t xml:space="preserve"> t</w:t>
      </w:r>
      <w:r>
        <w:t>r</w:t>
      </w:r>
      <w:r>
        <w:rPr>
          <w:spacing w:val="-2"/>
        </w:rPr>
        <w:t>e</w:t>
      </w:r>
      <w:r>
        <w:t>a</w:t>
      </w:r>
      <w:r>
        <w:rPr>
          <w:spacing w:val="1"/>
        </w:rPr>
        <w:t>t</w:t>
      </w:r>
      <w:r>
        <w:t>m</w:t>
      </w:r>
      <w:r>
        <w:rPr>
          <w:spacing w:val="-2"/>
        </w:rPr>
        <w:t>e</w:t>
      </w:r>
      <w:r>
        <w:rPr>
          <w:spacing w:val="1"/>
        </w:rPr>
        <w:t>n</w:t>
      </w:r>
      <w:r>
        <w:t>t</w:t>
      </w:r>
      <w:r>
        <w:rPr>
          <w:spacing w:val="2"/>
        </w:rPr>
        <w:t xml:space="preserve"> </w:t>
      </w:r>
      <w:r>
        <w:rPr>
          <w:spacing w:val="-1"/>
        </w:rPr>
        <w:t>t</w:t>
      </w:r>
      <w:r>
        <w:rPr>
          <w:spacing w:val="1"/>
        </w:rPr>
        <w:t>h</w:t>
      </w:r>
      <w:r>
        <w:t>at</w:t>
      </w:r>
      <w:r>
        <w:rPr>
          <w:spacing w:val="4"/>
        </w:rPr>
        <w:t xml:space="preserve"> </w:t>
      </w:r>
      <w:r>
        <w:t xml:space="preserve">is </w:t>
      </w:r>
      <w:r>
        <w:rPr>
          <w:spacing w:val="1"/>
        </w:rPr>
        <w:t>de</w:t>
      </w:r>
      <w:r>
        <w:rPr>
          <w:spacing w:val="-2"/>
        </w:rPr>
        <w:t>m</w:t>
      </w:r>
      <w:r>
        <w:rPr>
          <w:spacing w:val="1"/>
        </w:rPr>
        <w:t>e</w:t>
      </w:r>
      <w:r>
        <w:t>a</w:t>
      </w:r>
      <w:r>
        <w:rPr>
          <w:spacing w:val="1"/>
        </w:rPr>
        <w:t>n</w:t>
      </w:r>
      <w:r>
        <w:rPr>
          <w:spacing w:val="-2"/>
        </w:rPr>
        <w:t>i</w:t>
      </w:r>
      <w:r>
        <w:rPr>
          <w:spacing w:val="1"/>
        </w:rPr>
        <w:t>n</w:t>
      </w:r>
      <w:r>
        <w:t xml:space="preserve">g. </w:t>
      </w:r>
      <w:r>
        <w:rPr>
          <w:spacing w:val="1"/>
        </w:rPr>
        <w:t>Th</w:t>
      </w:r>
      <w:r>
        <w:t>is</w:t>
      </w:r>
      <w:r>
        <w:rPr>
          <w:spacing w:val="15"/>
        </w:rPr>
        <w:t xml:space="preserve"> </w:t>
      </w:r>
      <w:r>
        <w:rPr>
          <w:spacing w:val="1"/>
        </w:rPr>
        <w:t>h</w:t>
      </w:r>
      <w:r>
        <w:rPr>
          <w:spacing w:val="-2"/>
        </w:rPr>
        <w:t>a</w:t>
      </w:r>
      <w:r>
        <w:rPr>
          <w:spacing w:val="1"/>
        </w:rPr>
        <w:t>pp</w:t>
      </w:r>
      <w:r>
        <w:rPr>
          <w:spacing w:val="-2"/>
        </w:rPr>
        <w:t>e</w:t>
      </w:r>
      <w:r>
        <w:rPr>
          <w:spacing w:val="1"/>
        </w:rPr>
        <w:t>n</w:t>
      </w:r>
      <w:r>
        <w:t>s</w:t>
      </w:r>
      <w:r>
        <w:rPr>
          <w:spacing w:val="15"/>
        </w:rPr>
        <w:t xml:space="preserve"> </w:t>
      </w:r>
      <w:r>
        <w:rPr>
          <w:spacing w:val="-1"/>
        </w:rPr>
        <w:t>w</w:t>
      </w:r>
      <w:r>
        <w:rPr>
          <w:spacing w:val="1"/>
        </w:rPr>
        <w:t>he</w:t>
      </w:r>
      <w:r>
        <w:t>n</w:t>
      </w:r>
      <w:r>
        <w:rPr>
          <w:spacing w:val="16"/>
        </w:rPr>
        <w:t xml:space="preserve"> </w:t>
      </w:r>
      <w:r>
        <w:t>a</w:t>
      </w:r>
      <w:r>
        <w:rPr>
          <w:spacing w:val="16"/>
        </w:rPr>
        <w:t xml:space="preserve"> </w:t>
      </w:r>
      <w:r>
        <w:t>l</w:t>
      </w:r>
      <w:r>
        <w:rPr>
          <w:spacing w:val="-2"/>
        </w:rPr>
        <w:t>a</w:t>
      </w:r>
      <w:r>
        <w:t>w</w:t>
      </w:r>
      <w:r>
        <w:rPr>
          <w:spacing w:val="17"/>
        </w:rPr>
        <w:t xml:space="preserve"> </w:t>
      </w:r>
      <w:r>
        <w:rPr>
          <w:spacing w:val="1"/>
        </w:rPr>
        <w:t>o</w:t>
      </w:r>
      <w:r>
        <w:t>r</w:t>
      </w:r>
      <w:r>
        <w:rPr>
          <w:spacing w:val="16"/>
        </w:rPr>
        <w:t xml:space="preserve"> </w:t>
      </w:r>
      <w:r>
        <w:rPr>
          <w:spacing w:val="-1"/>
        </w:rPr>
        <w:t>c</w:t>
      </w:r>
      <w:r>
        <w:rPr>
          <w:spacing w:val="1"/>
        </w:rPr>
        <w:t>o</w:t>
      </w:r>
      <w:r>
        <w:rPr>
          <w:spacing w:val="-1"/>
        </w:rPr>
        <w:t>n</w:t>
      </w:r>
      <w:r>
        <w:rPr>
          <w:spacing w:val="1"/>
        </w:rPr>
        <w:t>du</w:t>
      </w:r>
      <w:r>
        <w:rPr>
          <w:spacing w:val="-1"/>
        </w:rPr>
        <w:t>c</w:t>
      </w:r>
      <w:r>
        <w:rPr>
          <w:spacing w:val="1"/>
        </w:rPr>
        <w:t>t</w:t>
      </w:r>
      <w:r>
        <w:t>,</w:t>
      </w:r>
      <w:r>
        <w:rPr>
          <w:spacing w:val="13"/>
        </w:rPr>
        <w:t xml:space="preserve"> </w:t>
      </w:r>
      <w:r>
        <w:rPr>
          <w:spacing w:val="1"/>
        </w:rPr>
        <w:t>fo</w:t>
      </w:r>
      <w:r>
        <w:t>r</w:t>
      </w:r>
      <w:r>
        <w:rPr>
          <w:spacing w:val="13"/>
        </w:rPr>
        <w:t xml:space="preserve"> </w:t>
      </w:r>
      <w:r>
        <w:rPr>
          <w:spacing w:val="1"/>
        </w:rPr>
        <w:t>n</w:t>
      </w:r>
      <w:r>
        <w:t>o</w:t>
      </w:r>
      <w:r>
        <w:rPr>
          <w:spacing w:val="16"/>
        </w:rPr>
        <w:t xml:space="preserve"> </w:t>
      </w:r>
      <w:r>
        <w:t>g</w:t>
      </w:r>
      <w:r>
        <w:rPr>
          <w:spacing w:val="-2"/>
        </w:rPr>
        <w:t>o</w:t>
      </w:r>
      <w:r>
        <w:rPr>
          <w:spacing w:val="1"/>
        </w:rPr>
        <w:t>o</w:t>
      </w:r>
      <w:r>
        <w:t>d</w:t>
      </w:r>
      <w:r>
        <w:rPr>
          <w:spacing w:val="16"/>
        </w:rPr>
        <w:t xml:space="preserve"> </w:t>
      </w:r>
      <w:r>
        <w:t>r</w:t>
      </w:r>
      <w:r>
        <w:rPr>
          <w:spacing w:val="1"/>
        </w:rPr>
        <w:t>e</w:t>
      </w:r>
      <w:r>
        <w:t>as</w:t>
      </w:r>
      <w:r>
        <w:rPr>
          <w:spacing w:val="-2"/>
        </w:rPr>
        <w:t>o</w:t>
      </w:r>
      <w:r>
        <w:rPr>
          <w:spacing w:val="1"/>
        </w:rPr>
        <w:t>n</w:t>
      </w:r>
      <w:r>
        <w:t>,</w:t>
      </w:r>
      <w:r>
        <w:rPr>
          <w:spacing w:val="15"/>
        </w:rPr>
        <w:t xml:space="preserve"> </w:t>
      </w:r>
      <w:r>
        <w:rPr>
          <w:spacing w:val="1"/>
        </w:rPr>
        <w:t>t</w:t>
      </w:r>
      <w:r>
        <w:rPr>
          <w:spacing w:val="-2"/>
        </w:rPr>
        <w:t>r</w:t>
      </w:r>
      <w:r>
        <w:rPr>
          <w:spacing w:val="1"/>
        </w:rPr>
        <w:t>e</w:t>
      </w:r>
      <w:r>
        <w:t>a</w:t>
      </w:r>
      <w:r>
        <w:rPr>
          <w:spacing w:val="1"/>
        </w:rPr>
        <w:t>t</w:t>
      </w:r>
      <w:r>
        <w:t>s</w:t>
      </w:r>
      <w:r>
        <w:rPr>
          <w:spacing w:val="15"/>
        </w:rPr>
        <w:t xml:space="preserve"> </w:t>
      </w:r>
      <w:r>
        <w:t>s</w:t>
      </w:r>
      <w:r>
        <w:rPr>
          <w:spacing w:val="1"/>
        </w:rPr>
        <w:t>o</w:t>
      </w:r>
      <w:r>
        <w:rPr>
          <w:spacing w:val="-2"/>
        </w:rPr>
        <w:t>m</w:t>
      </w:r>
      <w:r>
        <w:t>e</w:t>
      </w:r>
      <w:r>
        <w:rPr>
          <w:spacing w:val="16"/>
        </w:rPr>
        <w:t xml:space="preserve"> </w:t>
      </w:r>
      <w:r>
        <w:rPr>
          <w:spacing w:val="1"/>
        </w:rPr>
        <w:t>peop</w:t>
      </w:r>
      <w:r>
        <w:rPr>
          <w:spacing w:val="-2"/>
        </w:rPr>
        <w:t>l</w:t>
      </w:r>
      <w:r>
        <w:t>e</w:t>
      </w:r>
      <w:r>
        <w:rPr>
          <w:spacing w:val="16"/>
        </w:rPr>
        <w:t xml:space="preserve"> </w:t>
      </w:r>
      <w:r>
        <w:t>as</w:t>
      </w:r>
      <w:r>
        <w:rPr>
          <w:spacing w:val="15"/>
        </w:rPr>
        <w:t xml:space="preserve"> </w:t>
      </w:r>
      <w:r>
        <w:t>i</w:t>
      </w:r>
      <w:r>
        <w:rPr>
          <w:spacing w:val="-1"/>
        </w:rPr>
        <w:t>n</w:t>
      </w:r>
      <w:r>
        <w:rPr>
          <w:spacing w:val="1"/>
        </w:rPr>
        <w:t>fe</w:t>
      </w:r>
      <w:r>
        <w:t>ri</w:t>
      </w:r>
      <w:r>
        <w:rPr>
          <w:spacing w:val="1"/>
        </w:rPr>
        <w:t>o</w:t>
      </w:r>
      <w:r>
        <w:t>r</w:t>
      </w:r>
      <w:r>
        <w:rPr>
          <w:spacing w:val="13"/>
        </w:rPr>
        <w:t xml:space="preserve"> </w:t>
      </w:r>
      <w:r>
        <w:rPr>
          <w:spacing w:val="-2"/>
        </w:rPr>
        <w:t>o</w:t>
      </w:r>
      <w:r>
        <w:t>r less</w:t>
      </w:r>
      <w:r>
        <w:rPr>
          <w:spacing w:val="1"/>
        </w:rPr>
        <w:t xml:space="preserve"> de</w:t>
      </w:r>
      <w:r>
        <w:t>s</w:t>
      </w:r>
      <w:r>
        <w:rPr>
          <w:spacing w:val="1"/>
        </w:rPr>
        <w:t>e</w:t>
      </w:r>
      <w:r>
        <w:t>rv</w:t>
      </w:r>
      <w:r>
        <w:rPr>
          <w:spacing w:val="-2"/>
        </w:rPr>
        <w:t>i</w:t>
      </w:r>
      <w:r>
        <w:rPr>
          <w:spacing w:val="1"/>
        </w:rPr>
        <w:t>n</w:t>
      </w:r>
      <w:r>
        <w:t>g</w:t>
      </w:r>
      <w:r>
        <w:rPr>
          <w:spacing w:val="1"/>
        </w:rPr>
        <w:t xml:space="preserve"> </w:t>
      </w:r>
      <w:r>
        <w:rPr>
          <w:spacing w:val="-2"/>
        </w:rPr>
        <w:t>o</w:t>
      </w:r>
      <w:r>
        <w:t>f</w:t>
      </w:r>
      <w:r>
        <w:rPr>
          <w:spacing w:val="3"/>
        </w:rPr>
        <w:t xml:space="preserve"> </w:t>
      </w:r>
      <w:r>
        <w:rPr>
          <w:spacing w:val="-2"/>
        </w:rPr>
        <w:t>r</w:t>
      </w:r>
      <w:r>
        <w:rPr>
          <w:spacing w:val="1"/>
        </w:rPr>
        <w:t>e</w:t>
      </w:r>
      <w:r>
        <w:t>s</w:t>
      </w:r>
      <w:r>
        <w:rPr>
          <w:spacing w:val="1"/>
        </w:rPr>
        <w:t>pe</w:t>
      </w:r>
      <w:r>
        <w:rPr>
          <w:spacing w:val="-3"/>
        </w:rPr>
        <w:t>c</w:t>
      </w:r>
      <w:r>
        <w:t>t</w:t>
      </w:r>
      <w:r>
        <w:rPr>
          <w:spacing w:val="3"/>
        </w:rPr>
        <w:t xml:space="preserve"> </w:t>
      </w:r>
      <w:r>
        <w:rPr>
          <w:spacing w:val="-1"/>
        </w:rPr>
        <w:t>t</w:t>
      </w:r>
      <w:r>
        <w:rPr>
          <w:spacing w:val="1"/>
        </w:rPr>
        <w:t>h</w:t>
      </w:r>
      <w:r>
        <w:t xml:space="preserve">an </w:t>
      </w:r>
      <w:r>
        <w:rPr>
          <w:spacing w:val="-2"/>
        </w:rPr>
        <w:t>o</w:t>
      </w:r>
      <w:r>
        <w:rPr>
          <w:spacing w:val="1"/>
        </w:rPr>
        <w:t>the</w:t>
      </w:r>
      <w:r>
        <w:t>rs.</w:t>
      </w:r>
      <w:r>
        <w:rPr>
          <w:spacing w:val="1"/>
        </w:rPr>
        <w:t xml:space="preserve"> </w:t>
      </w:r>
      <w:r>
        <w:rPr>
          <w:spacing w:val="-3"/>
        </w:rPr>
        <w:t>I</w:t>
      </w:r>
      <w:r>
        <w:t>t</w:t>
      </w:r>
      <w:r>
        <w:rPr>
          <w:spacing w:val="3"/>
        </w:rPr>
        <w:t xml:space="preserve"> </w:t>
      </w:r>
      <w:r>
        <w:t xml:space="preserve">also </w:t>
      </w:r>
      <w:r>
        <w:rPr>
          <w:spacing w:val="1"/>
        </w:rPr>
        <w:t>o</w:t>
      </w:r>
      <w:r>
        <w:rPr>
          <w:spacing w:val="-3"/>
        </w:rPr>
        <w:t>c</w:t>
      </w:r>
      <w:r>
        <w:rPr>
          <w:spacing w:val="-1"/>
        </w:rPr>
        <w:t>c</w:t>
      </w:r>
      <w:r>
        <w:rPr>
          <w:spacing w:val="1"/>
        </w:rPr>
        <w:t>u</w:t>
      </w:r>
      <w:r>
        <w:t>rs</w:t>
      </w:r>
      <w:r>
        <w:rPr>
          <w:spacing w:val="1"/>
        </w:rPr>
        <w:t xml:space="preserve"> </w:t>
      </w:r>
      <w:r>
        <w:rPr>
          <w:spacing w:val="-1"/>
        </w:rPr>
        <w:t>w</w:t>
      </w:r>
      <w:r>
        <w:rPr>
          <w:spacing w:val="1"/>
        </w:rPr>
        <w:t>he</w:t>
      </w:r>
      <w:r>
        <w:t>n a</w:t>
      </w:r>
      <w:r>
        <w:rPr>
          <w:spacing w:val="2"/>
        </w:rPr>
        <w:t xml:space="preserve"> </w:t>
      </w:r>
      <w:r>
        <w:t>l</w:t>
      </w:r>
      <w:r>
        <w:rPr>
          <w:spacing w:val="-2"/>
        </w:rPr>
        <w:t>a</w:t>
      </w:r>
      <w:r>
        <w:t>w</w:t>
      </w:r>
      <w:r>
        <w:rPr>
          <w:spacing w:val="3"/>
        </w:rPr>
        <w:t xml:space="preserve"> </w:t>
      </w:r>
      <w:r>
        <w:rPr>
          <w:spacing w:val="-2"/>
        </w:rPr>
        <w:t>o</w:t>
      </w:r>
      <w:r>
        <w:t>r</w:t>
      </w:r>
      <w:r>
        <w:rPr>
          <w:spacing w:val="2"/>
        </w:rPr>
        <w:t xml:space="preserve"> </w:t>
      </w:r>
      <w:r>
        <w:rPr>
          <w:spacing w:val="-1"/>
        </w:rPr>
        <w:lastRenderedPageBreak/>
        <w:t>c</w:t>
      </w:r>
      <w:r>
        <w:rPr>
          <w:spacing w:val="1"/>
        </w:rPr>
        <w:t>o</w:t>
      </w:r>
      <w:r>
        <w:rPr>
          <w:spacing w:val="-1"/>
        </w:rPr>
        <w:t>n</w:t>
      </w:r>
      <w:r>
        <w:rPr>
          <w:spacing w:val="1"/>
        </w:rPr>
        <w:t>du</w:t>
      </w:r>
      <w:r>
        <w:rPr>
          <w:spacing w:val="-1"/>
        </w:rPr>
        <w:t>c</w:t>
      </w:r>
      <w:r>
        <w:t xml:space="preserve">t </w:t>
      </w:r>
      <w:r>
        <w:rPr>
          <w:spacing w:val="1"/>
        </w:rPr>
        <w:t>pe</w:t>
      </w:r>
      <w:r>
        <w:rPr>
          <w:spacing w:val="-2"/>
        </w:rPr>
        <w:t>r</w:t>
      </w:r>
      <w:r>
        <w:rPr>
          <w:spacing w:val="1"/>
        </w:rPr>
        <w:t>p</w:t>
      </w:r>
      <w:r>
        <w:rPr>
          <w:spacing w:val="-2"/>
        </w:rPr>
        <w:t>e</w:t>
      </w:r>
      <w:r>
        <w:rPr>
          <w:spacing w:val="1"/>
        </w:rPr>
        <w:t>tu</w:t>
      </w:r>
      <w:r>
        <w:rPr>
          <w:spacing w:val="-2"/>
        </w:rPr>
        <w:t>a</w:t>
      </w:r>
      <w:r>
        <w:rPr>
          <w:spacing w:val="1"/>
        </w:rPr>
        <w:t>te</w:t>
      </w:r>
      <w:r>
        <w:t>s</w:t>
      </w:r>
      <w:r>
        <w:rPr>
          <w:spacing w:val="1"/>
        </w:rPr>
        <w:t xml:space="preserve"> </w:t>
      </w:r>
      <w:r>
        <w:rPr>
          <w:spacing w:val="-2"/>
        </w:rPr>
        <w:t>o</w:t>
      </w:r>
      <w:r>
        <w:t xml:space="preserve">r </w:t>
      </w:r>
      <w:r>
        <w:rPr>
          <w:spacing w:val="1"/>
        </w:rPr>
        <w:t>doe</w:t>
      </w:r>
      <w:r>
        <w:t>s</w:t>
      </w:r>
      <w:r>
        <w:rPr>
          <w:spacing w:val="-2"/>
        </w:rPr>
        <w:t xml:space="preserve"> </w:t>
      </w:r>
      <w:r>
        <w:rPr>
          <w:spacing w:val="1"/>
        </w:rPr>
        <w:t>no</w:t>
      </w:r>
      <w:r>
        <w:rPr>
          <w:spacing w:val="-1"/>
        </w:rPr>
        <w:t>t</w:t>
      </w:r>
      <w:r>
        <w:rPr>
          <w:spacing w:val="1"/>
        </w:rPr>
        <w:t>h</w:t>
      </w:r>
      <w:r>
        <w:t>i</w:t>
      </w:r>
      <w:r>
        <w:rPr>
          <w:spacing w:val="1"/>
        </w:rPr>
        <w:t>n</w:t>
      </w:r>
      <w:r>
        <w:t>g</w:t>
      </w:r>
      <w:r>
        <w:rPr>
          <w:spacing w:val="-2"/>
        </w:rPr>
        <w:t xml:space="preserve"> </w:t>
      </w:r>
      <w:r>
        <w:rPr>
          <w:spacing w:val="1"/>
        </w:rPr>
        <w:t>t</w:t>
      </w:r>
      <w:r>
        <w:t>o</w:t>
      </w:r>
      <w:r>
        <w:rPr>
          <w:spacing w:val="-1"/>
        </w:rPr>
        <w:t xml:space="preserve"> </w:t>
      </w:r>
      <w:r>
        <w:t>r</w:t>
      </w:r>
      <w:r>
        <w:rPr>
          <w:spacing w:val="1"/>
        </w:rPr>
        <w:t>e</w:t>
      </w:r>
      <w:r>
        <w:rPr>
          <w:spacing w:val="-2"/>
        </w:rPr>
        <w:t>m</w:t>
      </w:r>
      <w:r>
        <w:rPr>
          <w:spacing w:val="1"/>
        </w:rPr>
        <w:t>ed</w:t>
      </w:r>
      <w:r>
        <w:t>y</w:t>
      </w:r>
      <w:r>
        <w:rPr>
          <w:spacing w:val="-2"/>
        </w:rPr>
        <w:t xml:space="preserve"> </w:t>
      </w:r>
      <w:r>
        <w:rPr>
          <w:spacing w:val="1"/>
        </w:rPr>
        <w:t>e</w:t>
      </w:r>
      <w:r>
        <w:rPr>
          <w:spacing w:val="-1"/>
        </w:rPr>
        <w:t>x</w:t>
      </w:r>
      <w:r>
        <w:t>is</w:t>
      </w:r>
      <w:r>
        <w:rPr>
          <w:spacing w:val="1"/>
        </w:rPr>
        <w:t>t</w:t>
      </w:r>
      <w:r>
        <w:t>i</w:t>
      </w:r>
      <w:r>
        <w:rPr>
          <w:spacing w:val="1"/>
        </w:rPr>
        <w:t>n</w:t>
      </w:r>
      <w:r>
        <w:t>g</w:t>
      </w:r>
      <w:r>
        <w:rPr>
          <w:spacing w:val="-2"/>
        </w:rPr>
        <w:t xml:space="preserve"> </w:t>
      </w:r>
      <w:r>
        <w:rPr>
          <w:spacing w:val="1"/>
        </w:rPr>
        <w:t>d</w:t>
      </w:r>
      <w:r>
        <w:t>isa</w:t>
      </w:r>
      <w:r>
        <w:rPr>
          <w:spacing w:val="1"/>
        </w:rPr>
        <w:t>d</w:t>
      </w:r>
      <w:r>
        <w:t>v</w:t>
      </w:r>
      <w:r>
        <w:rPr>
          <w:spacing w:val="-2"/>
        </w:rPr>
        <w:t>a</w:t>
      </w:r>
      <w:r>
        <w:rPr>
          <w:spacing w:val="1"/>
        </w:rPr>
        <w:t>nt</w:t>
      </w:r>
      <w:r>
        <w:t>ag</w:t>
      </w:r>
      <w:r>
        <w:rPr>
          <w:spacing w:val="1"/>
        </w:rPr>
        <w:t>e</w:t>
      </w:r>
      <w:r>
        <w:t>s</w:t>
      </w:r>
      <w:r>
        <w:rPr>
          <w:spacing w:val="-2"/>
        </w:rPr>
        <w:t xml:space="preserve"> a</w:t>
      </w:r>
      <w:r>
        <w:rPr>
          <w:spacing w:val="1"/>
        </w:rPr>
        <w:t>n</w:t>
      </w:r>
      <w:r>
        <w:t>d</w:t>
      </w:r>
      <w:r>
        <w:rPr>
          <w:spacing w:val="2"/>
        </w:rPr>
        <w:t xml:space="preserve"> </w:t>
      </w:r>
      <w:r>
        <w:rPr>
          <w:spacing w:val="-2"/>
        </w:rPr>
        <w:t>m</w:t>
      </w:r>
      <w:r>
        <w:t>argi</w:t>
      </w:r>
      <w:r>
        <w:rPr>
          <w:spacing w:val="1"/>
        </w:rPr>
        <w:t>n</w:t>
      </w:r>
      <w:r>
        <w:t>al</w:t>
      </w:r>
      <w:r>
        <w:rPr>
          <w:spacing w:val="-2"/>
        </w:rPr>
        <w:t>i</w:t>
      </w:r>
      <w:r>
        <w:rPr>
          <w:spacing w:val="1"/>
        </w:rPr>
        <w:t>z</w:t>
      </w:r>
      <w:r>
        <w:t>a</w:t>
      </w:r>
      <w:r>
        <w:rPr>
          <w:spacing w:val="1"/>
        </w:rPr>
        <w:t>t</w:t>
      </w:r>
      <w:r>
        <w:rPr>
          <w:spacing w:val="-2"/>
        </w:rPr>
        <w:t>i</w:t>
      </w:r>
      <w:r>
        <w:rPr>
          <w:spacing w:val="1"/>
        </w:rPr>
        <w:t>on.</w:t>
      </w:r>
      <w:r>
        <w:rPr>
          <w:rStyle w:val="FootnoteReference"/>
          <w:spacing w:val="1"/>
        </w:rPr>
        <w:footnoteReference w:id="76"/>
      </w:r>
    </w:p>
    <w:p w14:paraId="0B7F1266" w14:textId="4784F556" w:rsidR="00A423B9" w:rsidRDefault="009456E6" w:rsidP="00596D3C">
      <w:r w:rsidRPr="00596D3C">
        <w:t xml:space="preserve">This was quite a curious observation. </w:t>
      </w:r>
      <w:r w:rsidR="000273F3" w:rsidRPr="00596D3C">
        <w:t>In Minos</w:t>
      </w:r>
      <w:r w:rsidR="008B1DD2">
        <w:t>,</w:t>
      </w:r>
      <w:r w:rsidR="008B1DD2">
        <w:rPr>
          <w:rStyle w:val="FootnoteReference"/>
        </w:rPr>
        <w:footnoteReference w:id="77"/>
      </w:r>
      <w:r w:rsidR="000273F3" w:rsidRPr="00596D3C">
        <w:t xml:space="preserve"> Plato holds law as </w:t>
      </w:r>
      <w:r w:rsidR="00A423B9" w:rsidRPr="00596D3C">
        <w:t>involving</w:t>
      </w:r>
      <w:r w:rsidR="00F7247F" w:rsidRPr="00596D3C">
        <w:t xml:space="preserve"> principles of</w:t>
      </w:r>
      <w:r w:rsidR="000273F3" w:rsidRPr="00596D3C">
        <w:t xml:space="preserve"> justice and right. </w:t>
      </w:r>
      <w:r w:rsidR="00F7247F" w:rsidRPr="00596D3C">
        <w:t>Conceiving law in this manner implies that some of the fundamental characteristic</w:t>
      </w:r>
      <w:r w:rsidR="00ED0F0E">
        <w:t>s</w:t>
      </w:r>
      <w:r w:rsidR="00F7247F" w:rsidRPr="00596D3C">
        <w:t xml:space="preserve"> defining law should of necessity include morality,</w:t>
      </w:r>
      <w:r w:rsidR="00F7247F" w:rsidRPr="00F7247F">
        <w:t xml:space="preserve"> justice, and fairness. Evil legal systems or evil laws are </w:t>
      </w:r>
      <w:r w:rsidR="00F7247F">
        <w:t xml:space="preserve">to be </w:t>
      </w:r>
      <w:r w:rsidR="00F7247F" w:rsidRPr="00F7247F">
        <w:t>disqualified as law in this view</w:t>
      </w:r>
      <w:r w:rsidR="00F7247F">
        <w:t>.</w:t>
      </w:r>
      <w:r w:rsidR="00F7247F">
        <w:rPr>
          <w:rStyle w:val="FootnoteReference"/>
        </w:rPr>
        <w:footnoteReference w:id="78"/>
      </w:r>
      <w:r w:rsidR="00F7247F">
        <w:t xml:space="preserve"> </w:t>
      </w:r>
      <w:r w:rsidR="00A423B9">
        <w:t>Immanuel Kant in his categorical imperative has two formulations:</w:t>
      </w:r>
    </w:p>
    <w:p w14:paraId="24F178D2" w14:textId="37C27171" w:rsidR="000273F3" w:rsidRPr="00A423B9" w:rsidRDefault="00A423B9" w:rsidP="00570C12">
      <w:pPr>
        <w:spacing w:after="240"/>
      </w:pPr>
      <w:r>
        <w:t>A</w:t>
      </w:r>
      <w:r w:rsidRPr="00A423B9">
        <w:t>ct only in accordance with that maxim through which you can at the same time will that it become a universal law</w:t>
      </w:r>
      <w:r w:rsidR="00B44343">
        <w:t>.</w:t>
      </w:r>
      <w:r w:rsidR="00B44343">
        <w:rPr>
          <w:rStyle w:val="FootnoteReference"/>
        </w:rPr>
        <w:footnoteReference w:id="79"/>
      </w:r>
      <w:r w:rsidRPr="00A423B9">
        <w:t>So act that you use h</w:t>
      </w:r>
      <w:r w:rsidR="00ED0F0E">
        <w:t>umanness</w:t>
      </w:r>
      <w:r w:rsidRPr="00A423B9">
        <w:t>, whether in your own person or in the person of any other, always at the same time as an end, never merely as a means</w:t>
      </w:r>
      <w:r w:rsidR="00B44343">
        <w:t>.</w:t>
      </w:r>
      <w:r w:rsidR="00B44343">
        <w:rPr>
          <w:rStyle w:val="FootnoteReference"/>
        </w:rPr>
        <w:footnoteReference w:id="80"/>
      </w:r>
    </w:p>
    <w:p w14:paraId="5EB4D8BE" w14:textId="07989A51" w:rsidR="00A423B9" w:rsidRPr="00885F24" w:rsidRDefault="00B44343" w:rsidP="00570C12">
      <w:pPr>
        <w:spacing w:after="240"/>
      </w:pPr>
      <w:r w:rsidRPr="00885F24">
        <w:t>Kant</w:t>
      </w:r>
      <w:r w:rsidR="009456E6" w:rsidRPr="00885F24">
        <w:t xml:space="preserve"> is presenting a moral position is which reason</w:t>
      </w:r>
      <w:r w:rsidRPr="00885F24">
        <w:t xml:space="preserve"> </w:t>
      </w:r>
      <w:r w:rsidR="00A423B9" w:rsidRPr="00885F24">
        <w:t>commands and constrains us absolutely</w:t>
      </w:r>
      <w:r w:rsidR="009456E6" w:rsidRPr="00885F24">
        <w:t xml:space="preserve"> obeying moral dictates </w:t>
      </w:r>
      <w:r w:rsidR="00A423B9" w:rsidRPr="00885F24">
        <w:t xml:space="preserve"> without regard to our preferences or empirical features or </w:t>
      </w:r>
      <w:r w:rsidRPr="00885F24">
        <w:t xml:space="preserve">circumstances. Thinking </w:t>
      </w:r>
      <w:r w:rsidR="00ED0F0E">
        <w:t>unconventionally</w:t>
      </w:r>
      <w:r w:rsidRPr="00885F24">
        <w:t xml:space="preserve"> and discrimination based on </w:t>
      </w:r>
      <w:r w:rsidR="00ED0F0E" w:rsidRPr="00885F24">
        <w:t>this</w:t>
      </w:r>
      <w:r w:rsidR="00ED0F0E">
        <w:t xml:space="preserve"> premise </w:t>
      </w:r>
      <w:r w:rsidRPr="00885F24">
        <w:t xml:space="preserve">is prioritising our preferences and using </w:t>
      </w:r>
      <w:r w:rsidR="00C02A32" w:rsidRPr="00885F24">
        <w:t>the</w:t>
      </w:r>
      <w:r w:rsidR="00AA603A" w:rsidRPr="00885F24">
        <w:t>m</w:t>
      </w:r>
      <w:r w:rsidRPr="00885F24">
        <w:t xml:space="preserve"> as standards for judging the morality of others. </w:t>
      </w:r>
      <w:r w:rsidR="00ED0F0E">
        <w:t>Instead, a</w:t>
      </w:r>
      <w:r w:rsidR="00C02A32" w:rsidRPr="00885F24">
        <w:t xml:space="preserve">ll laws ought to be fair and just. </w:t>
      </w:r>
      <w:r w:rsidR="00ED0F0E">
        <w:t>In all, t</w:t>
      </w:r>
      <w:r w:rsidR="00885F24" w:rsidRPr="00885F24">
        <w:t xml:space="preserve">he judgement was obeying the preferences of the majority and disregarding those of the minority. </w:t>
      </w:r>
    </w:p>
    <w:p w14:paraId="5AEBE3AA" w14:textId="574C6A50" w:rsidR="00C02A32" w:rsidRDefault="00C02A32" w:rsidP="00596D3C">
      <w:pPr>
        <w:spacing w:after="240"/>
      </w:pPr>
      <w:r>
        <w:t xml:space="preserve">It is true that </w:t>
      </w:r>
      <w:r w:rsidR="00ED0F0E">
        <w:t xml:space="preserve">the </w:t>
      </w:r>
      <w:r>
        <w:t xml:space="preserve">law </w:t>
      </w:r>
      <w:r w:rsidRPr="008366EE">
        <w:t xml:space="preserve">serves many purposes. </w:t>
      </w:r>
      <w:r w:rsidR="00885F24">
        <w:t xml:space="preserve">Among these are: </w:t>
      </w:r>
      <w:r w:rsidRPr="008366EE">
        <w:t xml:space="preserve"> establishing standards</w:t>
      </w:r>
      <w:r w:rsidR="00AA603A">
        <w:t>;</w:t>
      </w:r>
      <w:r w:rsidRPr="008366EE">
        <w:t xml:space="preserve"> maintaining order</w:t>
      </w:r>
      <w:r w:rsidR="00AA603A">
        <w:t>;</w:t>
      </w:r>
      <w:r w:rsidRPr="008366EE">
        <w:t xml:space="preserve"> resolving disputes</w:t>
      </w:r>
      <w:r w:rsidR="00AA603A">
        <w:t>;</w:t>
      </w:r>
      <w:r w:rsidRPr="008366EE">
        <w:t xml:space="preserve"> and</w:t>
      </w:r>
      <w:r w:rsidR="00885F24">
        <w:t>,</w:t>
      </w:r>
      <w:r w:rsidRPr="008366EE">
        <w:t xml:space="preserve"> protecting liberties and rights.</w:t>
      </w:r>
      <w:r>
        <w:t xml:space="preserve"> It is also true that there are </w:t>
      </w:r>
      <w:r w:rsidRPr="008366EE">
        <w:t>wide variet</w:t>
      </w:r>
      <w:r>
        <w:t>ies</w:t>
      </w:r>
      <w:r w:rsidRPr="008366EE">
        <w:t xml:space="preserve"> of laws</w:t>
      </w:r>
      <w:r>
        <w:t xml:space="preserve">: those </w:t>
      </w:r>
      <w:r w:rsidRPr="008366EE">
        <w:t xml:space="preserve">created </w:t>
      </w:r>
      <w:r>
        <w:t xml:space="preserve">through </w:t>
      </w:r>
      <w:r w:rsidRPr="008366EE">
        <w:t>legislat</w:t>
      </w:r>
      <w:r>
        <w:t>ions;</w:t>
      </w:r>
      <w:r w:rsidRPr="008366EE">
        <w:t xml:space="preserve"> those created by administrative agencies</w:t>
      </w:r>
      <w:r>
        <w:t xml:space="preserve">; </w:t>
      </w:r>
      <w:r w:rsidRPr="008366EE">
        <w:t xml:space="preserve">and </w:t>
      </w:r>
      <w:r>
        <w:t xml:space="preserve">those </w:t>
      </w:r>
      <w:r w:rsidRPr="008366EE">
        <w:t>created</w:t>
      </w:r>
      <w:r>
        <w:t xml:space="preserve"> from tradition, or common law</w:t>
      </w:r>
      <w:r w:rsidR="00885F24">
        <w:t>, and f</w:t>
      </w:r>
      <w:r>
        <w:t xml:space="preserve">inally, case laws, those that arise from judicial pronouncements directing how laws </w:t>
      </w:r>
      <w:r w:rsidRPr="008366EE">
        <w:t xml:space="preserve">should be interpreted. </w:t>
      </w:r>
      <w:r>
        <w:t>These are all useful</w:t>
      </w:r>
      <w:r w:rsidR="003A5350">
        <w:t>. The</w:t>
      </w:r>
      <w:r w:rsidR="00885F24">
        <w:t>y</w:t>
      </w:r>
      <w:r>
        <w:t xml:space="preserve"> </w:t>
      </w:r>
      <w:r w:rsidRPr="008366EE">
        <w:t xml:space="preserve">help </w:t>
      </w:r>
      <w:r w:rsidR="00885F24">
        <w:t xml:space="preserve">in </w:t>
      </w:r>
      <w:r w:rsidRPr="008366EE">
        <w:t>protect</w:t>
      </w:r>
      <w:r w:rsidR="00AA603A">
        <w:t>ing</w:t>
      </w:r>
      <w:r w:rsidRPr="008366EE">
        <w:t xml:space="preserve"> </w:t>
      </w:r>
      <w:r w:rsidR="00885F24">
        <w:t xml:space="preserve">the </w:t>
      </w:r>
      <w:r w:rsidR="00885F24" w:rsidRPr="008366EE">
        <w:t>day</w:t>
      </w:r>
      <w:r w:rsidRPr="008366EE">
        <w:t>-to-day li</w:t>
      </w:r>
      <w:r w:rsidR="00885F24">
        <w:t xml:space="preserve">fe activities. </w:t>
      </w:r>
      <w:r w:rsidR="00ED0F0E">
        <w:t xml:space="preserve">However, </w:t>
      </w:r>
      <w:r>
        <w:t>the framework of human rights demands that l</w:t>
      </w:r>
      <w:r w:rsidRPr="008366EE">
        <w:t xml:space="preserve">aws </w:t>
      </w:r>
      <w:r>
        <w:t xml:space="preserve">should first and foremost </w:t>
      </w:r>
      <w:r w:rsidRPr="008366EE">
        <w:t>protect individual rights and liberties</w:t>
      </w:r>
      <w:r w:rsidR="00ED0F0E">
        <w:t xml:space="preserve"> and this </w:t>
      </w:r>
      <w:r>
        <w:t xml:space="preserve">is contained in </w:t>
      </w:r>
      <w:r w:rsidR="00885F24">
        <w:t xml:space="preserve">the Universal </w:t>
      </w:r>
      <w:r w:rsidR="000A27E2">
        <w:t>Declaration</w:t>
      </w:r>
      <w:r w:rsidR="00885F24">
        <w:t xml:space="preserve"> of </w:t>
      </w:r>
      <w:r w:rsidR="000A27E2">
        <w:t>Human</w:t>
      </w:r>
      <w:r w:rsidR="00885F24">
        <w:t xml:space="preserve"> Rights</w:t>
      </w:r>
      <w:r w:rsidR="00ED0F0E">
        <w:t xml:space="preserve"> </w:t>
      </w:r>
      <w:r w:rsidR="00ED0F0E">
        <w:lastRenderedPageBreak/>
        <w:t>UDHR)</w:t>
      </w:r>
      <w:r w:rsidR="00885F24">
        <w:t>,</w:t>
      </w:r>
      <w:r w:rsidR="00ED0F0E">
        <w:rPr>
          <w:rStyle w:val="FootnoteReference"/>
        </w:rPr>
        <w:footnoteReference w:id="81"/>
      </w:r>
      <w:r w:rsidR="00885F24">
        <w:t xml:space="preserve"> and acclaimed international human rights instrument</w:t>
      </w:r>
      <w:r w:rsidR="00ED0F0E">
        <w:t>,</w:t>
      </w:r>
      <w:r w:rsidR="00885F24">
        <w:rPr>
          <w:rStyle w:val="FootnoteReference"/>
        </w:rPr>
        <w:footnoteReference w:id="82"/>
      </w:r>
      <w:r w:rsidR="00885F24">
        <w:t xml:space="preserve"> </w:t>
      </w:r>
      <w:r w:rsidR="000A27E2">
        <w:t>the African Charter on Human and Peoples Rights</w:t>
      </w:r>
      <w:r w:rsidR="00ED0F0E">
        <w:t>(</w:t>
      </w:r>
      <w:r w:rsidR="000A27E2">
        <w:t>ACHPR</w:t>
      </w:r>
      <w:r w:rsidR="00ED0F0E">
        <w:t>)</w:t>
      </w:r>
      <w:r w:rsidR="000A27E2">
        <w:rPr>
          <w:rStyle w:val="FootnoteReference"/>
        </w:rPr>
        <w:footnoteReference w:id="83"/>
      </w:r>
      <w:r w:rsidR="000A27E2">
        <w:t xml:space="preserve"> </w:t>
      </w:r>
      <w:r w:rsidR="00ED0F0E">
        <w:t>and c</w:t>
      </w:r>
      <w:r>
        <w:t>hapter four of the Constitution of Kenya</w:t>
      </w:r>
      <w:r w:rsidR="000A27E2">
        <w:rPr>
          <w:rStyle w:val="FootnoteReference"/>
        </w:rPr>
        <w:footnoteReference w:id="84"/>
      </w:r>
      <w:r>
        <w:t xml:space="preserve"> </w:t>
      </w:r>
      <w:r w:rsidR="000A27E2">
        <w:t xml:space="preserve">which </w:t>
      </w:r>
      <w:r w:rsidR="00ED0F0E">
        <w:t>ensures</w:t>
      </w:r>
      <w:r>
        <w:t xml:space="preserve"> and </w:t>
      </w:r>
      <w:r w:rsidRPr="008366EE">
        <w:t>guarantee</w:t>
      </w:r>
      <w:r w:rsidR="00ED0F0E">
        <w:t>s</w:t>
      </w:r>
      <w:r w:rsidRPr="008366EE">
        <w:t xml:space="preserve"> several important protections. </w:t>
      </w:r>
    </w:p>
    <w:p w14:paraId="2689C727" w14:textId="77777777" w:rsidR="00B44343" w:rsidRDefault="00B44343" w:rsidP="00B44343">
      <w:pPr>
        <w:pStyle w:val="Heading2"/>
      </w:pPr>
      <w:r>
        <w:t>Conclusion</w:t>
      </w:r>
    </w:p>
    <w:p w14:paraId="32193B00" w14:textId="77777777" w:rsidR="00564E63" w:rsidRDefault="00C02A32" w:rsidP="00570C12">
      <w:pPr>
        <w:spacing w:after="240"/>
      </w:pPr>
      <w:r w:rsidRPr="005C3E35">
        <w:t>The C</w:t>
      </w:r>
      <w:r w:rsidR="003D7F72">
        <w:t>onstitution of Kenya (</w:t>
      </w:r>
      <w:r w:rsidRPr="005C3E35">
        <w:t>2010</w:t>
      </w:r>
      <w:r w:rsidR="003D7F72">
        <w:t>)</w:t>
      </w:r>
      <w:r w:rsidRPr="005C3E35">
        <w:t xml:space="preserve"> provided Kenyan</w:t>
      </w:r>
      <w:r w:rsidR="003D7F72">
        <w:t xml:space="preserve"> citizens </w:t>
      </w:r>
      <w:r w:rsidR="003D7F72" w:rsidRPr="005C3E35">
        <w:t>with</w:t>
      </w:r>
      <w:r w:rsidRPr="005C3E35">
        <w:t xml:space="preserve"> </w:t>
      </w:r>
      <w:r w:rsidR="003D7F72">
        <w:t xml:space="preserve">a </w:t>
      </w:r>
      <w:r w:rsidRPr="005C3E35">
        <w:t xml:space="preserve">new lens </w:t>
      </w:r>
      <w:r w:rsidR="003D7F72">
        <w:t xml:space="preserve">to use when </w:t>
      </w:r>
      <w:r w:rsidR="00590CA8">
        <w:t xml:space="preserve">looking </w:t>
      </w:r>
      <w:r w:rsidRPr="005C3E35">
        <w:t xml:space="preserve">at society. </w:t>
      </w:r>
      <w:r w:rsidR="003D7F72">
        <w:t xml:space="preserve">The advantage with this document </w:t>
      </w:r>
      <w:r w:rsidR="00590CA8">
        <w:t xml:space="preserve">is that </w:t>
      </w:r>
      <w:r w:rsidR="003D7F72">
        <w:t xml:space="preserve">while broad in scope </w:t>
      </w:r>
      <w:r w:rsidR="00590CA8">
        <w:t xml:space="preserve">it not only brings forth a new architecture for managing public affairs but </w:t>
      </w:r>
      <w:r w:rsidR="00564E63">
        <w:t xml:space="preserve">also </w:t>
      </w:r>
      <w:r w:rsidR="00590CA8">
        <w:t>hands the current and future generation a refreshing way of looking at human rights</w:t>
      </w:r>
      <w:r w:rsidR="00564E63">
        <w:t>, away from the independent constitution that bothered least with human rights</w:t>
      </w:r>
      <w:r w:rsidR="00590CA8">
        <w:t>.</w:t>
      </w:r>
      <w:r w:rsidR="003D7F72">
        <w:t xml:space="preserve"> </w:t>
      </w:r>
      <w:r w:rsidRPr="005C3E35">
        <w:t xml:space="preserve">One fundamental question </w:t>
      </w:r>
      <w:r w:rsidR="00BE0963">
        <w:t xml:space="preserve">that </w:t>
      </w:r>
      <w:r w:rsidR="003D7F72">
        <w:t xml:space="preserve">arises among </w:t>
      </w:r>
      <w:r w:rsidRPr="005C3E35">
        <w:t>practitioners and human rights defenders</w:t>
      </w:r>
      <w:r w:rsidR="00BE0963">
        <w:t xml:space="preserve"> is</w:t>
      </w:r>
      <w:r w:rsidRPr="005C3E35">
        <w:t xml:space="preserve">: </w:t>
      </w:r>
      <w:r w:rsidR="003D7F72">
        <w:t>C</w:t>
      </w:r>
      <w:r w:rsidRPr="005C3E35">
        <w:t>an there be any good reason for imposing on fellow citizens a type of intrusion, humiliation, or even persecution? In other words, is there a social or legal justification for discriminating against fellow citizens</w:t>
      </w:r>
      <w:r w:rsidR="003D7F72">
        <w:t xml:space="preserve"> </w:t>
      </w:r>
      <w:r w:rsidR="00564E63">
        <w:t xml:space="preserve">when and </w:t>
      </w:r>
      <w:r w:rsidR="003D7F72">
        <w:t>while the constitution serves all</w:t>
      </w:r>
      <w:r w:rsidRPr="005C3E35">
        <w:t xml:space="preserve">? </w:t>
      </w:r>
      <w:r w:rsidR="003D7F72">
        <w:t>Considering that t</w:t>
      </w:r>
      <w:r w:rsidRPr="005C3E35">
        <w:t>he Constitution provides for right to privacy, dignity, and to equal treatment</w:t>
      </w:r>
      <w:r w:rsidR="003D7F72">
        <w:t xml:space="preserve">, to engage in profiling the LGBTQI community and denying them rights and freedoms is tantamount to </w:t>
      </w:r>
      <w:r w:rsidRPr="005C3E35">
        <w:t xml:space="preserve">interrogating one’s private relationships </w:t>
      </w:r>
      <w:r w:rsidR="003D7F72">
        <w:t xml:space="preserve">which </w:t>
      </w:r>
      <w:r w:rsidRPr="005C3E35">
        <w:t xml:space="preserve">is an assault on one’s dignity. </w:t>
      </w:r>
    </w:p>
    <w:p w14:paraId="0EA9E735" w14:textId="416DDA90" w:rsidR="00C02A32" w:rsidRPr="00590CA8" w:rsidRDefault="00C02A32" w:rsidP="00570C12">
      <w:pPr>
        <w:spacing w:after="240"/>
        <w:rPr>
          <w:color w:val="606060"/>
        </w:rPr>
      </w:pPr>
      <w:r w:rsidRPr="00590CA8">
        <w:t xml:space="preserve">Similarly, although </w:t>
      </w:r>
      <w:r w:rsidRPr="00590CA8">
        <w:rPr>
          <w:i/>
        </w:rPr>
        <w:t>in law</w:t>
      </w:r>
      <w:r w:rsidRPr="00590CA8">
        <w:t xml:space="preserve">, </w:t>
      </w:r>
      <w:r w:rsidR="00564E63">
        <w:t>heterogeneous couples ought to be equ</w:t>
      </w:r>
      <w:r w:rsidR="00680043" w:rsidRPr="00590CA8">
        <w:t>ally</w:t>
      </w:r>
      <w:r w:rsidRPr="00590CA8">
        <w:t xml:space="preserve"> prosecuted for one of the Penal Code offences</w:t>
      </w:r>
      <w:r w:rsidR="00564E63">
        <w:t xml:space="preserve"> (engaging in anal sex)</w:t>
      </w:r>
      <w:r w:rsidRPr="00590CA8">
        <w:t xml:space="preserve">, </w:t>
      </w:r>
      <w:r w:rsidR="00680043" w:rsidRPr="00590CA8">
        <w:t xml:space="preserve">but </w:t>
      </w:r>
      <w:r w:rsidRPr="00590CA8">
        <w:rPr>
          <w:i/>
        </w:rPr>
        <w:t>in reality</w:t>
      </w:r>
      <w:r w:rsidRPr="00590CA8">
        <w:t xml:space="preserve"> </w:t>
      </w:r>
      <w:r w:rsidR="00564E63">
        <w:t xml:space="preserve">it does not happen. According to the Penal code, anal sex is described as unnatural. </w:t>
      </w:r>
      <w:r w:rsidR="008E7710">
        <w:t>This is another example of applying the law discriminately</w:t>
      </w:r>
    </w:p>
    <w:p w14:paraId="4D8A4F43" w14:textId="009D96BE" w:rsidR="00C02A32" w:rsidRPr="005C3E35" w:rsidRDefault="00C02A32" w:rsidP="006C399B">
      <w:pPr>
        <w:spacing w:after="240"/>
        <w:rPr>
          <w:color w:val="000000"/>
          <w:szCs w:val="24"/>
        </w:rPr>
      </w:pPr>
      <w:r w:rsidRPr="005C3E35">
        <w:rPr>
          <w:szCs w:val="24"/>
        </w:rPr>
        <w:t>Under the Co</w:t>
      </w:r>
      <w:r w:rsidR="008E7710">
        <w:rPr>
          <w:szCs w:val="24"/>
        </w:rPr>
        <w:t>nstitution of Kenya (</w:t>
      </w:r>
      <w:r w:rsidRPr="005C3E35">
        <w:rPr>
          <w:szCs w:val="24"/>
        </w:rPr>
        <w:t>2010</w:t>
      </w:r>
      <w:r w:rsidR="008E7710">
        <w:rPr>
          <w:szCs w:val="24"/>
        </w:rPr>
        <w:t>)</w:t>
      </w:r>
      <w:r w:rsidRPr="005C3E35">
        <w:rPr>
          <w:szCs w:val="24"/>
        </w:rPr>
        <w:t>, members of the LGBQ community have the same rights as all members of</w:t>
      </w:r>
      <w:r w:rsidR="00BE0963">
        <w:rPr>
          <w:szCs w:val="24"/>
        </w:rPr>
        <w:t xml:space="preserve"> the Kenyan </w:t>
      </w:r>
      <w:r w:rsidRPr="005C3E35">
        <w:rPr>
          <w:szCs w:val="24"/>
        </w:rPr>
        <w:t xml:space="preserve">society. They have equal rights in society as human beings. They however face challenges when it comes to exercising their rights, just because they are different. </w:t>
      </w:r>
      <w:r w:rsidR="008E7710">
        <w:rPr>
          <w:szCs w:val="24"/>
        </w:rPr>
        <w:t>Although c</w:t>
      </w:r>
      <w:r w:rsidRPr="005C3E35">
        <w:rPr>
          <w:szCs w:val="24"/>
        </w:rPr>
        <w:t xml:space="preserve">hapter </w:t>
      </w:r>
      <w:r w:rsidR="008E7710">
        <w:rPr>
          <w:szCs w:val="24"/>
        </w:rPr>
        <w:t>f</w:t>
      </w:r>
      <w:r w:rsidRPr="005C3E35">
        <w:rPr>
          <w:szCs w:val="24"/>
        </w:rPr>
        <w:t xml:space="preserve">our provides </w:t>
      </w:r>
      <w:r w:rsidR="008E7710">
        <w:rPr>
          <w:szCs w:val="24"/>
        </w:rPr>
        <w:t xml:space="preserve">for </w:t>
      </w:r>
      <w:r w:rsidRPr="005C3E35">
        <w:rPr>
          <w:szCs w:val="24"/>
        </w:rPr>
        <w:t>robust and comprehensive rights that are to be enjoyed by Kenyan citizen</w:t>
      </w:r>
      <w:r w:rsidR="008E7710">
        <w:rPr>
          <w:szCs w:val="24"/>
        </w:rPr>
        <w:t xml:space="preserve">, the LGBTQI seem to be silently exempted. </w:t>
      </w:r>
      <w:r w:rsidR="00B00F50">
        <w:rPr>
          <w:szCs w:val="24"/>
        </w:rPr>
        <w:t xml:space="preserve">Being </w:t>
      </w:r>
      <w:r w:rsidR="00B00F50" w:rsidRPr="005C3E35">
        <w:rPr>
          <w:color w:val="000000"/>
          <w:szCs w:val="24"/>
        </w:rPr>
        <w:t>lesbian</w:t>
      </w:r>
      <w:r w:rsidRPr="005C3E35">
        <w:rPr>
          <w:color w:val="000000"/>
          <w:szCs w:val="24"/>
        </w:rPr>
        <w:t xml:space="preserve">, gay, bisexual, transgender, </w:t>
      </w:r>
      <w:r w:rsidRPr="005C3E35">
        <w:rPr>
          <w:color w:val="000000"/>
          <w:szCs w:val="24"/>
        </w:rPr>
        <w:lastRenderedPageBreak/>
        <w:t xml:space="preserve">intersex or queer is not a crime because it is a protected freedom according to </w:t>
      </w:r>
      <w:r w:rsidR="008E7710">
        <w:rPr>
          <w:color w:val="000000"/>
          <w:szCs w:val="24"/>
        </w:rPr>
        <w:t>a</w:t>
      </w:r>
      <w:r w:rsidR="00BE0963">
        <w:rPr>
          <w:color w:val="000000"/>
          <w:szCs w:val="24"/>
        </w:rPr>
        <w:t xml:space="preserve">rticle 33 of the </w:t>
      </w:r>
      <w:r w:rsidR="008E7710">
        <w:rPr>
          <w:color w:val="000000"/>
          <w:szCs w:val="24"/>
        </w:rPr>
        <w:t>c</w:t>
      </w:r>
      <w:r w:rsidR="00BE0963">
        <w:rPr>
          <w:color w:val="000000"/>
          <w:szCs w:val="24"/>
        </w:rPr>
        <w:t>onstitution</w:t>
      </w:r>
      <w:r w:rsidR="00B00F50">
        <w:rPr>
          <w:color w:val="000000"/>
          <w:szCs w:val="24"/>
        </w:rPr>
        <w:t xml:space="preserve">. The article </w:t>
      </w:r>
      <w:r w:rsidR="00BE0963">
        <w:rPr>
          <w:color w:val="000000"/>
          <w:szCs w:val="24"/>
        </w:rPr>
        <w:t xml:space="preserve">guarantees </w:t>
      </w:r>
      <w:r w:rsidRPr="005C3E35">
        <w:rPr>
          <w:color w:val="000000"/>
          <w:szCs w:val="24"/>
        </w:rPr>
        <w:t xml:space="preserve">freedom of speech and expression though some laws make </w:t>
      </w:r>
      <w:r w:rsidR="008160D3">
        <w:rPr>
          <w:color w:val="000000"/>
          <w:szCs w:val="24"/>
        </w:rPr>
        <w:t xml:space="preserve">homosexuality a crime, it should be noted that these arrangements are </w:t>
      </w:r>
      <w:r w:rsidRPr="005C3E35">
        <w:rPr>
          <w:color w:val="000000"/>
          <w:szCs w:val="24"/>
        </w:rPr>
        <w:t>private</w:t>
      </w:r>
      <w:r w:rsidR="008160D3">
        <w:rPr>
          <w:color w:val="000000"/>
          <w:szCs w:val="24"/>
        </w:rPr>
        <w:t xml:space="preserve">, </w:t>
      </w:r>
      <w:r w:rsidRPr="005C3E35">
        <w:rPr>
          <w:color w:val="000000"/>
          <w:szCs w:val="24"/>
        </w:rPr>
        <w:t xml:space="preserve">consensual </w:t>
      </w:r>
      <w:r w:rsidR="008160D3">
        <w:rPr>
          <w:color w:val="000000"/>
          <w:szCs w:val="24"/>
        </w:rPr>
        <w:t xml:space="preserve">and between willing adults. </w:t>
      </w:r>
      <w:r w:rsidR="00B00F50">
        <w:rPr>
          <w:color w:val="000000"/>
          <w:szCs w:val="24"/>
        </w:rPr>
        <w:t>Disregarding this</w:t>
      </w:r>
      <w:r w:rsidR="008160D3">
        <w:rPr>
          <w:color w:val="000000"/>
          <w:szCs w:val="24"/>
        </w:rPr>
        <w:t xml:space="preserve"> </w:t>
      </w:r>
      <w:r w:rsidR="00B00F50">
        <w:rPr>
          <w:color w:val="000000"/>
          <w:szCs w:val="24"/>
        </w:rPr>
        <w:t xml:space="preserve">guarantee of freedom and </w:t>
      </w:r>
      <w:r w:rsidRPr="005C3E35">
        <w:rPr>
          <w:color w:val="000000"/>
          <w:szCs w:val="24"/>
        </w:rPr>
        <w:t>criminaliz</w:t>
      </w:r>
      <w:r w:rsidR="008160D3">
        <w:rPr>
          <w:color w:val="000000"/>
          <w:szCs w:val="24"/>
        </w:rPr>
        <w:t xml:space="preserve">ing </w:t>
      </w:r>
      <w:r w:rsidR="00B00F50">
        <w:rPr>
          <w:color w:val="000000"/>
          <w:szCs w:val="24"/>
        </w:rPr>
        <w:t>sexual expressions by the LGBTQI is clear violation of the constitution</w:t>
      </w:r>
      <w:r w:rsidR="005C5E57">
        <w:rPr>
          <w:color w:val="000000"/>
          <w:szCs w:val="24"/>
        </w:rPr>
        <w:t>. When c</w:t>
      </w:r>
      <w:r w:rsidRPr="005C3E35">
        <w:rPr>
          <w:color w:val="000000"/>
          <w:szCs w:val="24"/>
        </w:rPr>
        <w:t>onsensual same sex sexual conduct is criminalized under the sections of the law cited above</w:t>
      </w:r>
      <w:r w:rsidR="006C399B">
        <w:rPr>
          <w:color w:val="000000"/>
          <w:szCs w:val="24"/>
        </w:rPr>
        <w:t>,</w:t>
      </w:r>
      <w:r w:rsidR="00BE0963">
        <w:rPr>
          <w:rStyle w:val="FootnoteReference"/>
          <w:color w:val="000000"/>
          <w:szCs w:val="24"/>
        </w:rPr>
        <w:footnoteReference w:id="85"/>
      </w:r>
      <w:r w:rsidRPr="005C3E35">
        <w:rPr>
          <w:color w:val="000000"/>
          <w:szCs w:val="24"/>
        </w:rPr>
        <w:t xml:space="preserve"> </w:t>
      </w:r>
      <w:r w:rsidR="006C399B">
        <w:rPr>
          <w:color w:val="000000"/>
          <w:szCs w:val="24"/>
        </w:rPr>
        <w:t xml:space="preserve">they </w:t>
      </w:r>
      <w:r w:rsidRPr="005C3E35">
        <w:rPr>
          <w:color w:val="000000"/>
          <w:szCs w:val="24"/>
        </w:rPr>
        <w:t>create</w:t>
      </w:r>
      <w:r w:rsidRPr="005C3E35">
        <w:rPr>
          <w:szCs w:val="24"/>
        </w:rPr>
        <w:t xml:space="preserve"> a misguided perception in society that LGBTQ</w:t>
      </w:r>
      <w:r w:rsidR="00680043">
        <w:rPr>
          <w:szCs w:val="24"/>
        </w:rPr>
        <w:t>I</w:t>
      </w:r>
      <w:r w:rsidRPr="005C3E35">
        <w:rPr>
          <w:szCs w:val="24"/>
        </w:rPr>
        <w:t xml:space="preserve"> persons are criminals. This perception drives further the perpetuation of human rights violations and acts of violence against </w:t>
      </w:r>
      <w:r w:rsidR="006C399B" w:rsidRPr="005C3E35">
        <w:rPr>
          <w:szCs w:val="24"/>
        </w:rPr>
        <w:t>the</w:t>
      </w:r>
      <w:r w:rsidR="006C399B">
        <w:rPr>
          <w:szCs w:val="24"/>
        </w:rPr>
        <w:t xml:space="preserve"> LGBTQI who are</w:t>
      </w:r>
      <w:r w:rsidR="00BE0963">
        <w:rPr>
          <w:szCs w:val="24"/>
        </w:rPr>
        <w:t xml:space="preserve"> </w:t>
      </w:r>
      <w:r w:rsidRPr="005C3E35">
        <w:rPr>
          <w:szCs w:val="24"/>
        </w:rPr>
        <w:t>innocent</w:t>
      </w:r>
      <w:r w:rsidR="00BE0963">
        <w:rPr>
          <w:szCs w:val="24"/>
        </w:rPr>
        <w:t xml:space="preserve"> citizens</w:t>
      </w:r>
      <w:r w:rsidRPr="005C3E35">
        <w:rPr>
          <w:szCs w:val="24"/>
        </w:rPr>
        <w:t xml:space="preserve">. </w:t>
      </w:r>
      <w:r w:rsidRPr="005C3E35">
        <w:rPr>
          <w:color w:val="000000"/>
          <w:szCs w:val="24"/>
        </w:rPr>
        <w:t xml:space="preserve">By making private consensual same-sex conduct a crime, Sections 162 and 165 interfere with the lives of individuals who are freely exercising their rights to sexual expression. A person’s </w:t>
      </w:r>
      <w:r w:rsidR="006C399B" w:rsidRPr="005C3E35">
        <w:rPr>
          <w:color w:val="000000"/>
          <w:szCs w:val="24"/>
        </w:rPr>
        <w:t>sexua</w:t>
      </w:r>
      <w:r w:rsidR="006C399B">
        <w:rPr>
          <w:color w:val="000000"/>
          <w:szCs w:val="24"/>
        </w:rPr>
        <w:t>lity is</w:t>
      </w:r>
      <w:r w:rsidRPr="005C3E35">
        <w:rPr>
          <w:color w:val="000000"/>
          <w:szCs w:val="24"/>
        </w:rPr>
        <w:t xml:space="preserve"> an important part of </w:t>
      </w:r>
      <w:r w:rsidR="006C399B">
        <w:rPr>
          <w:color w:val="000000"/>
          <w:szCs w:val="24"/>
        </w:rPr>
        <w:t xml:space="preserve">an </w:t>
      </w:r>
      <w:r w:rsidRPr="005C3E35">
        <w:rPr>
          <w:color w:val="000000"/>
          <w:szCs w:val="24"/>
        </w:rPr>
        <w:t>individual wh</w:t>
      </w:r>
      <w:r w:rsidR="006C399B">
        <w:rPr>
          <w:color w:val="000000"/>
          <w:szCs w:val="24"/>
        </w:rPr>
        <w:t xml:space="preserve">o when </w:t>
      </w:r>
      <w:r w:rsidRPr="005C3E35">
        <w:rPr>
          <w:color w:val="000000"/>
          <w:szCs w:val="24"/>
        </w:rPr>
        <w:t xml:space="preserve">not fully and freely </w:t>
      </w:r>
      <w:r w:rsidR="006C399B">
        <w:rPr>
          <w:color w:val="000000"/>
          <w:szCs w:val="24"/>
        </w:rPr>
        <w:t xml:space="preserve">able to </w:t>
      </w:r>
      <w:r w:rsidRPr="005C3E35">
        <w:rPr>
          <w:color w:val="000000"/>
          <w:szCs w:val="24"/>
        </w:rPr>
        <w:t>express</w:t>
      </w:r>
      <w:r w:rsidR="006C399B">
        <w:rPr>
          <w:color w:val="000000"/>
          <w:szCs w:val="24"/>
        </w:rPr>
        <w:t xml:space="preserve"> themselves is </w:t>
      </w:r>
      <w:r w:rsidRPr="005C3E35">
        <w:rPr>
          <w:color w:val="000000"/>
          <w:szCs w:val="24"/>
        </w:rPr>
        <w:t>negatively affect</w:t>
      </w:r>
      <w:r w:rsidR="006C399B">
        <w:rPr>
          <w:color w:val="000000"/>
          <w:szCs w:val="24"/>
        </w:rPr>
        <w:t xml:space="preserve">ed in their search </w:t>
      </w:r>
      <w:r w:rsidRPr="005C3E35">
        <w:rPr>
          <w:color w:val="000000"/>
          <w:szCs w:val="24"/>
        </w:rPr>
        <w:t>for happiness. Laws that make adult, private and consensual same-sex conduct a crime lead to violence and discrimination against individuals on grounds of their sexual</w:t>
      </w:r>
      <w:r w:rsidR="009B0860">
        <w:rPr>
          <w:color w:val="000000"/>
          <w:szCs w:val="24"/>
        </w:rPr>
        <w:t>ity.</w:t>
      </w:r>
      <w:r w:rsidRPr="005C3E35">
        <w:rPr>
          <w:color w:val="000000"/>
          <w:szCs w:val="24"/>
        </w:rPr>
        <w:t xml:space="preserve"> </w:t>
      </w:r>
      <w:r w:rsidR="0083044B">
        <w:rPr>
          <w:color w:val="000000"/>
          <w:szCs w:val="24"/>
        </w:rPr>
        <w:t>Additionally, i</w:t>
      </w:r>
      <w:r w:rsidRPr="005C3E35">
        <w:rPr>
          <w:color w:val="000000"/>
          <w:szCs w:val="24"/>
        </w:rPr>
        <w:t xml:space="preserve">n some cases in Kenya, members of the transgender and intersex community </w:t>
      </w:r>
      <w:r w:rsidR="0083044B">
        <w:rPr>
          <w:color w:val="000000"/>
          <w:szCs w:val="24"/>
        </w:rPr>
        <w:t xml:space="preserve">have faced </w:t>
      </w:r>
      <w:r w:rsidRPr="005C3E35">
        <w:rPr>
          <w:color w:val="000000"/>
          <w:szCs w:val="24"/>
        </w:rPr>
        <w:t xml:space="preserve">violence and discrimination after being mistaken for being gay, lesbian, or bisexual. </w:t>
      </w:r>
    </w:p>
    <w:p w14:paraId="4E0F91A2" w14:textId="2C803D4D" w:rsidR="00C02A32" w:rsidRPr="0083044B" w:rsidRDefault="00C02A32" w:rsidP="00596D3C">
      <w:pPr>
        <w:rPr>
          <w:color w:val="000000"/>
          <w:szCs w:val="24"/>
        </w:rPr>
      </w:pPr>
      <w:r w:rsidRPr="0083044B">
        <w:rPr>
          <w:color w:val="000000"/>
          <w:szCs w:val="24"/>
        </w:rPr>
        <w:t xml:space="preserve">The making of the Kenyan 2010 Constitution involved ordinary citizens striving to reject and </w:t>
      </w:r>
      <w:r w:rsidR="0083044B">
        <w:rPr>
          <w:color w:val="000000"/>
          <w:szCs w:val="24"/>
        </w:rPr>
        <w:t xml:space="preserve">revise </w:t>
      </w:r>
      <w:r w:rsidRPr="0083044B">
        <w:rPr>
          <w:color w:val="000000"/>
          <w:szCs w:val="24"/>
        </w:rPr>
        <w:t xml:space="preserve">the </w:t>
      </w:r>
      <w:r w:rsidR="0083044B">
        <w:rPr>
          <w:color w:val="000000"/>
          <w:szCs w:val="24"/>
        </w:rPr>
        <w:t xml:space="preserve">then </w:t>
      </w:r>
      <w:r w:rsidRPr="0083044B">
        <w:rPr>
          <w:color w:val="000000"/>
          <w:szCs w:val="24"/>
        </w:rPr>
        <w:t xml:space="preserve">existing social order and redefine a new social, economic, cultural, and political institutions and order for themselves. </w:t>
      </w:r>
      <w:r w:rsidR="0083044B">
        <w:rPr>
          <w:color w:val="000000"/>
          <w:szCs w:val="24"/>
        </w:rPr>
        <w:t xml:space="preserve">On examination the constitution of Kenya (2010) </w:t>
      </w:r>
      <w:r w:rsidRPr="0083044B">
        <w:rPr>
          <w:color w:val="000000"/>
          <w:szCs w:val="24"/>
        </w:rPr>
        <w:t xml:space="preserve">is no doubt a radical document that looks to a future that is very different from Kenya’s past, both in its values and practices. One would interpret the vision of the </w:t>
      </w:r>
      <w:r w:rsidR="0083044B">
        <w:rPr>
          <w:color w:val="000000"/>
          <w:szCs w:val="24"/>
        </w:rPr>
        <w:t>constitution as</w:t>
      </w:r>
      <w:r w:rsidRPr="0083044B">
        <w:rPr>
          <w:color w:val="000000"/>
          <w:szCs w:val="24"/>
        </w:rPr>
        <w:t xml:space="preserve">: </w:t>
      </w:r>
    </w:p>
    <w:p w14:paraId="4652DAF4" w14:textId="30729684" w:rsidR="00C02A32" w:rsidRPr="0083044B" w:rsidRDefault="00C02A32" w:rsidP="00474B3E">
      <w:pPr>
        <w:pStyle w:val="ListParagraph"/>
        <w:numPr>
          <w:ilvl w:val="0"/>
          <w:numId w:val="34"/>
        </w:numPr>
        <w:rPr>
          <w:rFonts w:eastAsiaTheme="minorHAnsi" w:cstheme="minorBidi"/>
          <w:color w:val="000000"/>
          <w:szCs w:val="24"/>
        </w:rPr>
      </w:pPr>
      <w:r w:rsidRPr="0083044B">
        <w:rPr>
          <w:rFonts w:eastAsiaTheme="minorHAnsi" w:cstheme="minorBidi"/>
          <w:color w:val="000000"/>
          <w:szCs w:val="24"/>
        </w:rPr>
        <w:t xml:space="preserve">A reconstitution or reconfiguration of </w:t>
      </w:r>
      <w:r w:rsidR="0083044B">
        <w:rPr>
          <w:rFonts w:eastAsiaTheme="minorHAnsi" w:cstheme="minorBidi"/>
          <w:color w:val="000000"/>
          <w:szCs w:val="24"/>
        </w:rPr>
        <w:t xml:space="preserve">the </w:t>
      </w:r>
      <w:r w:rsidRPr="0083044B">
        <w:rPr>
          <w:rFonts w:eastAsiaTheme="minorHAnsi" w:cstheme="minorBidi"/>
          <w:color w:val="000000"/>
          <w:szCs w:val="24"/>
        </w:rPr>
        <w:t>Kenyan society</w:t>
      </w:r>
    </w:p>
    <w:p w14:paraId="73A69A14" w14:textId="77777777" w:rsidR="00C02A32" w:rsidRPr="0083044B" w:rsidRDefault="00C02A32" w:rsidP="00474B3E">
      <w:pPr>
        <w:pStyle w:val="ListParagraph"/>
        <w:numPr>
          <w:ilvl w:val="0"/>
          <w:numId w:val="34"/>
        </w:numPr>
        <w:rPr>
          <w:rFonts w:eastAsiaTheme="minorHAnsi" w:cstheme="minorBidi"/>
          <w:color w:val="000000"/>
          <w:szCs w:val="24"/>
        </w:rPr>
      </w:pPr>
      <w:r w:rsidRPr="0083044B">
        <w:rPr>
          <w:rFonts w:eastAsiaTheme="minorHAnsi" w:cstheme="minorBidi"/>
          <w:color w:val="000000"/>
          <w:szCs w:val="24"/>
        </w:rPr>
        <w:t>A nationhood premised on unity and integration, while respecting diversity;</w:t>
      </w:r>
    </w:p>
    <w:p w14:paraId="5971F07E" w14:textId="635A60F4" w:rsidR="00C02A32" w:rsidRPr="0083044B" w:rsidRDefault="00C02A32" w:rsidP="00474B3E">
      <w:pPr>
        <w:pStyle w:val="ListParagraph"/>
        <w:numPr>
          <w:ilvl w:val="0"/>
          <w:numId w:val="34"/>
        </w:numPr>
        <w:rPr>
          <w:rFonts w:eastAsiaTheme="minorHAnsi" w:cstheme="minorBidi"/>
          <w:color w:val="000000"/>
          <w:szCs w:val="24"/>
        </w:rPr>
      </w:pPr>
      <w:r w:rsidRPr="0083044B">
        <w:rPr>
          <w:rFonts w:eastAsiaTheme="minorHAnsi" w:cstheme="minorBidi"/>
          <w:color w:val="000000"/>
          <w:szCs w:val="24"/>
        </w:rPr>
        <w:t xml:space="preserve">A democracy and </w:t>
      </w:r>
      <w:r w:rsidR="0083044B">
        <w:rPr>
          <w:rFonts w:eastAsiaTheme="minorHAnsi" w:cstheme="minorBidi"/>
          <w:color w:val="000000"/>
          <w:szCs w:val="24"/>
        </w:rPr>
        <w:t xml:space="preserve">framed </w:t>
      </w:r>
      <w:r w:rsidRPr="0083044B">
        <w:rPr>
          <w:rFonts w:eastAsiaTheme="minorHAnsi" w:cstheme="minorBidi"/>
          <w:color w:val="000000"/>
          <w:szCs w:val="24"/>
        </w:rPr>
        <w:t xml:space="preserve">institutions that serve the people and </w:t>
      </w:r>
      <w:r w:rsidR="0083044B">
        <w:rPr>
          <w:rFonts w:eastAsiaTheme="minorHAnsi" w:cstheme="minorBidi"/>
          <w:color w:val="000000"/>
          <w:szCs w:val="24"/>
        </w:rPr>
        <w:t xml:space="preserve">does </w:t>
      </w:r>
      <w:r w:rsidRPr="0083044B">
        <w:rPr>
          <w:rFonts w:eastAsiaTheme="minorHAnsi" w:cstheme="minorBidi"/>
          <w:color w:val="000000"/>
          <w:szCs w:val="24"/>
        </w:rPr>
        <w:t>not enslave them; prioritizing integrity in public leadership;</w:t>
      </w:r>
    </w:p>
    <w:p w14:paraId="0323FC1A" w14:textId="77777777" w:rsidR="00C02A32" w:rsidRPr="0083044B" w:rsidRDefault="00C02A32" w:rsidP="00474B3E">
      <w:pPr>
        <w:pStyle w:val="ListParagraph"/>
        <w:numPr>
          <w:ilvl w:val="0"/>
          <w:numId w:val="34"/>
        </w:numPr>
        <w:rPr>
          <w:rFonts w:eastAsiaTheme="minorHAnsi" w:cstheme="minorBidi"/>
          <w:color w:val="000000"/>
          <w:szCs w:val="24"/>
        </w:rPr>
      </w:pPr>
      <w:r w:rsidRPr="0083044B">
        <w:rPr>
          <w:rFonts w:eastAsiaTheme="minorHAnsi" w:cstheme="minorBidi"/>
          <w:color w:val="000000"/>
          <w:szCs w:val="24"/>
        </w:rPr>
        <w:lastRenderedPageBreak/>
        <w:t>A bill of Rights that provides for economic, social and cultural rights to reinforce the full enjoyment human rights and the power to radically mitigate the status quo and signal the creation of a human rights society in;</w:t>
      </w:r>
    </w:p>
    <w:p w14:paraId="168B1B42" w14:textId="582BFCBD" w:rsidR="00C02A32" w:rsidRPr="0083044B" w:rsidRDefault="00C02A32" w:rsidP="00474B3E">
      <w:pPr>
        <w:pStyle w:val="ListParagraph"/>
        <w:numPr>
          <w:ilvl w:val="0"/>
          <w:numId w:val="34"/>
        </w:numPr>
        <w:rPr>
          <w:rFonts w:eastAsiaTheme="minorHAnsi" w:cstheme="minorBidi"/>
          <w:color w:val="000000"/>
          <w:szCs w:val="24"/>
        </w:rPr>
      </w:pPr>
      <w:r w:rsidRPr="0083044B">
        <w:rPr>
          <w:rFonts w:eastAsiaTheme="minorHAnsi" w:cstheme="minorBidi"/>
          <w:color w:val="000000"/>
          <w:szCs w:val="24"/>
        </w:rPr>
        <w:t>Reflect</w:t>
      </w:r>
      <w:r w:rsidR="0083044B">
        <w:rPr>
          <w:rFonts w:eastAsiaTheme="minorHAnsi" w:cstheme="minorBidi"/>
          <w:color w:val="000000"/>
          <w:szCs w:val="24"/>
        </w:rPr>
        <w:t>ing</w:t>
      </w:r>
      <w:r w:rsidRPr="0083044B">
        <w:rPr>
          <w:rFonts w:eastAsiaTheme="minorHAnsi" w:cstheme="minorBidi"/>
          <w:color w:val="000000"/>
          <w:szCs w:val="24"/>
        </w:rPr>
        <w:t xml:space="preserve"> the will </w:t>
      </w:r>
      <w:r w:rsidR="0083044B">
        <w:rPr>
          <w:rFonts w:eastAsiaTheme="minorHAnsi" w:cstheme="minorBidi"/>
          <w:color w:val="000000"/>
          <w:szCs w:val="24"/>
        </w:rPr>
        <w:t xml:space="preserve">of </w:t>
      </w:r>
      <w:r w:rsidRPr="0083044B">
        <w:rPr>
          <w:rFonts w:eastAsiaTheme="minorHAnsi" w:cstheme="minorBidi"/>
          <w:color w:val="000000"/>
          <w:szCs w:val="24"/>
        </w:rPr>
        <w:t>the people for fundamental and radical changes through the implementation of the Constitution.</w:t>
      </w:r>
    </w:p>
    <w:p w14:paraId="71A17417" w14:textId="3A582438" w:rsidR="008E4D64" w:rsidRDefault="00C02A32" w:rsidP="00570C12">
      <w:pPr>
        <w:spacing w:after="240"/>
      </w:pPr>
      <w:r>
        <w:rPr>
          <w:rFonts w:eastAsia="Meiryo"/>
          <w:szCs w:val="24"/>
        </w:rPr>
        <w:t>The LGBTQ</w:t>
      </w:r>
      <w:r w:rsidR="0083044B">
        <w:rPr>
          <w:rFonts w:eastAsia="Meiryo"/>
          <w:szCs w:val="24"/>
        </w:rPr>
        <w:t>I</w:t>
      </w:r>
      <w:r>
        <w:rPr>
          <w:rFonts w:eastAsia="Meiryo"/>
          <w:szCs w:val="24"/>
        </w:rPr>
        <w:t xml:space="preserve"> Community in Kenya is </w:t>
      </w:r>
      <w:r w:rsidR="0083044B">
        <w:rPr>
          <w:rFonts w:eastAsia="Meiryo"/>
          <w:szCs w:val="24"/>
        </w:rPr>
        <w:t xml:space="preserve">diverse and </w:t>
      </w:r>
      <w:r>
        <w:rPr>
          <w:rFonts w:eastAsia="Meiryo"/>
          <w:szCs w:val="24"/>
        </w:rPr>
        <w:t>different, just like all of people cannot hold same views on society, hygiene and cuisine. People differ in their approach to life, work and social activities</w:t>
      </w:r>
      <w:r w:rsidR="0083044B">
        <w:rPr>
          <w:rFonts w:eastAsia="Meiryo"/>
          <w:szCs w:val="24"/>
        </w:rPr>
        <w:t xml:space="preserve"> and therefore to express homogenous response to the </w:t>
      </w:r>
      <w:r w:rsidR="00BF6E34">
        <w:rPr>
          <w:rFonts w:eastAsia="Meiryo"/>
          <w:szCs w:val="24"/>
        </w:rPr>
        <w:t xml:space="preserve">LGBTQI would be community would be erroneous. Being a minority community, the LGBTQI </w:t>
      </w:r>
      <w:r>
        <w:rPr>
          <w:rFonts w:eastAsia="Meiryo"/>
          <w:szCs w:val="24"/>
        </w:rPr>
        <w:t>is expressing difference within diversity. Society should respect this</w:t>
      </w:r>
      <w:r w:rsidR="00BF6E34">
        <w:rPr>
          <w:rFonts w:eastAsia="Meiryo"/>
          <w:szCs w:val="24"/>
        </w:rPr>
        <w:t xml:space="preserve"> if in fact it considers and value humanity, if for no other reason but by the fact that the LGBTQI community are members of the larger human community. </w:t>
      </w:r>
      <w:r w:rsidR="00BE0963">
        <w:t xml:space="preserve">It was </w:t>
      </w:r>
      <w:r w:rsidR="00BF6E34">
        <w:t xml:space="preserve">in this article that </w:t>
      </w:r>
      <w:r w:rsidR="00BE0963">
        <w:t>l</w:t>
      </w:r>
      <w:r w:rsidR="00BE0963" w:rsidRPr="008366EE">
        <w:t>aws</w:t>
      </w:r>
      <w:r w:rsidR="00BE0963">
        <w:t xml:space="preserve"> function t</w:t>
      </w:r>
      <w:r w:rsidR="00BF6E34">
        <w:t>o</w:t>
      </w:r>
      <w:r w:rsidR="00BE0963">
        <w:t xml:space="preserve"> </w:t>
      </w:r>
      <w:r w:rsidR="00BF6E34">
        <w:t>bring harmony in the</w:t>
      </w:r>
      <w:r w:rsidR="00BE0963">
        <w:t xml:space="preserve"> society. These </w:t>
      </w:r>
      <w:r w:rsidR="00BF6E34">
        <w:t xml:space="preserve">social harmony allows for creation of </w:t>
      </w:r>
      <w:r w:rsidR="00BE0963" w:rsidRPr="008366EE">
        <w:t xml:space="preserve">a framework </w:t>
      </w:r>
      <w:r w:rsidR="0070415C">
        <w:t xml:space="preserve">of generating </w:t>
      </w:r>
      <w:r w:rsidR="00BE0963" w:rsidRPr="008366EE">
        <w:t xml:space="preserve">rules </w:t>
      </w:r>
      <w:r w:rsidR="0070415C">
        <w:t xml:space="preserve">that help in </w:t>
      </w:r>
      <w:r w:rsidR="00BE0963" w:rsidRPr="008366EE">
        <w:t>resolv</w:t>
      </w:r>
      <w:r w:rsidR="0070415C">
        <w:t xml:space="preserve">ing </w:t>
      </w:r>
      <w:r w:rsidR="00BE0963" w:rsidRPr="008366EE">
        <w:t>disputes between individuals</w:t>
      </w:r>
      <w:r w:rsidR="0070415C">
        <w:t xml:space="preserve">, </w:t>
      </w:r>
      <w:r w:rsidR="00BE0963">
        <w:t>setting standards, and maintaining order in society</w:t>
      </w:r>
      <w:r w:rsidR="00035DB2">
        <w:t xml:space="preserve">. These do not in any way </w:t>
      </w:r>
      <w:r w:rsidR="00BE0963">
        <w:t xml:space="preserve">override the human rights function. </w:t>
      </w:r>
      <w:r w:rsidR="0070415C">
        <w:t>Ultimately, t</w:t>
      </w:r>
      <w:r>
        <w:t xml:space="preserve">he </w:t>
      </w:r>
      <w:r w:rsidR="00BE0963">
        <w:t>Constitution</w:t>
      </w:r>
      <w:r>
        <w:t xml:space="preserve"> of Kenya </w:t>
      </w:r>
      <w:r w:rsidR="0070415C">
        <w:t>(</w:t>
      </w:r>
      <w:r>
        <w:t>2010</w:t>
      </w:r>
      <w:r w:rsidR="0070415C">
        <w:t>)</w:t>
      </w:r>
      <w:r>
        <w:t xml:space="preserve"> grants rights to all. </w:t>
      </w:r>
      <w:r w:rsidR="0070415C">
        <w:t xml:space="preserve">We are all human. </w:t>
      </w:r>
      <w:r>
        <w:t>Let all enjoy human right</w:t>
      </w:r>
      <w:r w:rsidR="0070415C">
        <w:t>s</w:t>
      </w:r>
    </w:p>
    <w:p w14:paraId="59EF8147" w14:textId="77777777" w:rsidR="008E4D64" w:rsidRDefault="008E4D64">
      <w:pPr>
        <w:spacing w:after="200" w:line="276" w:lineRule="auto"/>
        <w:jc w:val="left"/>
      </w:pPr>
      <w:r>
        <w:br w:type="page"/>
      </w:r>
    </w:p>
    <w:p w14:paraId="543F626C" w14:textId="77777777" w:rsidR="00891E71" w:rsidRPr="00891E71" w:rsidRDefault="008E4D64" w:rsidP="007E314B">
      <w:pPr>
        <w:pStyle w:val="Heading2"/>
      </w:pPr>
      <w:r>
        <w:lastRenderedPageBreak/>
        <w:t>References</w:t>
      </w:r>
    </w:p>
    <w:p w14:paraId="4AC1FDC1" w14:textId="77777777" w:rsidR="00113D70" w:rsidRPr="00113D70" w:rsidRDefault="00113D70" w:rsidP="00113D70">
      <w:r w:rsidRPr="00113D70">
        <w:t>AU, 1990. African Charter on the Rights and Welfare of the Child (ACRWC).</w:t>
      </w:r>
    </w:p>
    <w:p w14:paraId="5BAE818D" w14:textId="77777777" w:rsidR="00113D70" w:rsidRPr="00113D70" w:rsidRDefault="00113D70" w:rsidP="00113D70">
      <w:pPr>
        <w:rPr>
          <w:lang w:val="en-US"/>
        </w:rPr>
      </w:pPr>
      <w:r w:rsidRPr="00113D70">
        <w:rPr>
          <w:lang w:val="en-US"/>
        </w:rPr>
        <w:t xml:space="preserve">AU, 1986. The African Charter on Human and Peoples Rights (ACHPR). </w:t>
      </w:r>
    </w:p>
    <w:p w14:paraId="12626A0E" w14:textId="77777777" w:rsidR="00113D70" w:rsidRPr="00113D70" w:rsidRDefault="00113D70" w:rsidP="0033688B">
      <w:pPr>
        <w:spacing w:line="240" w:lineRule="auto"/>
        <w:rPr>
          <w:lang w:eastAsia="en-GB"/>
        </w:rPr>
      </w:pPr>
      <w:r w:rsidRPr="00113D70">
        <w:rPr>
          <w:lang w:eastAsia="en-GB"/>
        </w:rPr>
        <w:t>Brenna M. Munro, 2017. ‘States of emergence: Writing African Female Same-Sex</w:t>
      </w:r>
    </w:p>
    <w:p w14:paraId="648B60D8" w14:textId="77777777" w:rsidR="00113D70" w:rsidRPr="00113D70" w:rsidRDefault="00113D70" w:rsidP="0033688B">
      <w:pPr>
        <w:spacing w:line="240" w:lineRule="auto"/>
        <w:rPr>
          <w:lang w:eastAsia="en-GB"/>
        </w:rPr>
      </w:pPr>
      <w:r w:rsidRPr="00113D70">
        <w:rPr>
          <w:lang w:eastAsia="en-GB"/>
        </w:rPr>
        <w:t xml:space="preserve">sexuality.’ In </w:t>
      </w:r>
      <w:r w:rsidRPr="00113D70">
        <w:rPr>
          <w:i/>
          <w:lang w:eastAsia="en-GB"/>
        </w:rPr>
        <w:t>Journal of Lesbian Studies</w:t>
      </w:r>
      <w:r w:rsidRPr="00113D70">
        <w:rPr>
          <w:lang w:eastAsia="en-GB"/>
        </w:rPr>
        <w:t xml:space="preserve">, Vol. 21, No. 2, 186-203. </w:t>
      </w:r>
    </w:p>
    <w:p w14:paraId="520F1C6E" w14:textId="77777777" w:rsidR="00113D70" w:rsidRPr="00113D70" w:rsidRDefault="00113D70" w:rsidP="0033688B">
      <w:pPr>
        <w:spacing w:after="240" w:line="240" w:lineRule="auto"/>
        <w:rPr>
          <w:lang w:val="en-US"/>
        </w:rPr>
      </w:pPr>
      <w:r w:rsidRPr="00113D70">
        <w:rPr>
          <w:rFonts w:eastAsia="Times New Roman"/>
          <w:lang w:eastAsia="en-GB"/>
        </w:rPr>
        <w:t xml:space="preserve">DOI: </w:t>
      </w:r>
      <w:hyperlink r:id="rId14" w:history="1">
        <w:r w:rsidRPr="00113D70">
          <w:rPr>
            <w:rFonts w:eastAsia="Times New Roman"/>
            <w:color w:val="0000FF"/>
            <w:u w:val="single"/>
            <w:lang w:eastAsia="en-GB"/>
          </w:rPr>
          <w:t>10.1080/10894160.2016.1148471</w:t>
        </w:r>
      </w:hyperlink>
      <w:r w:rsidRPr="00113D70">
        <w:rPr>
          <w:rFonts w:eastAsia="Times New Roman"/>
          <w:lang w:eastAsia="en-GB"/>
        </w:rPr>
        <w:t xml:space="preserve"> </w:t>
      </w:r>
    </w:p>
    <w:p w14:paraId="47B2B5E3" w14:textId="77777777" w:rsidR="00113D70" w:rsidRPr="00113D70" w:rsidRDefault="00113D70" w:rsidP="0033688B">
      <w:pPr>
        <w:spacing w:line="240" w:lineRule="auto"/>
        <w:rPr>
          <w:b/>
          <w:szCs w:val="24"/>
        </w:rPr>
      </w:pPr>
      <w:r w:rsidRPr="00113D70">
        <w:t xml:space="preserve">Cohen, D.W. &amp; E.S. Atieno Odhiambo, 1992.  </w:t>
      </w:r>
      <w:r w:rsidRPr="00113D70">
        <w:rPr>
          <w:rFonts w:cs="Times New Roman"/>
          <w:b/>
          <w:szCs w:val="24"/>
        </w:rPr>
        <w:t>Burying SM: The Politics</w:t>
      </w:r>
      <w:r w:rsidRPr="00113D70">
        <w:rPr>
          <w:b/>
          <w:szCs w:val="24"/>
        </w:rPr>
        <w:t xml:space="preserve"> </w:t>
      </w:r>
      <w:r w:rsidRPr="00113D70">
        <w:rPr>
          <w:rFonts w:cs="Times New Roman"/>
          <w:b/>
          <w:szCs w:val="24"/>
        </w:rPr>
        <w:t>of</w:t>
      </w:r>
    </w:p>
    <w:p w14:paraId="2DF8A84C" w14:textId="77777777" w:rsidR="00113D70" w:rsidRPr="00113D70" w:rsidRDefault="00113D70" w:rsidP="0033688B">
      <w:pPr>
        <w:spacing w:line="240" w:lineRule="auto"/>
        <w:rPr>
          <w:rFonts w:cs="Times New Roman"/>
          <w:szCs w:val="24"/>
        </w:rPr>
      </w:pPr>
      <w:r w:rsidRPr="00113D70">
        <w:rPr>
          <w:rFonts w:cs="Times New Roman"/>
          <w:b/>
          <w:szCs w:val="24"/>
        </w:rPr>
        <w:t>Knowledge and the Sociology of Power in Africa</w:t>
      </w:r>
      <w:r w:rsidRPr="00113D70">
        <w:rPr>
          <w:rFonts w:cs="Times New Roman"/>
          <w:szCs w:val="24"/>
        </w:rPr>
        <w:t>. Nairobi: East African</w:t>
      </w:r>
    </w:p>
    <w:p w14:paraId="375D357D" w14:textId="77777777" w:rsidR="00113D70" w:rsidRPr="00113D70" w:rsidRDefault="00113D70" w:rsidP="0033688B">
      <w:pPr>
        <w:spacing w:after="240" w:line="240" w:lineRule="auto"/>
        <w:rPr>
          <w:rFonts w:cs="Times New Roman"/>
          <w:szCs w:val="24"/>
        </w:rPr>
      </w:pPr>
      <w:r w:rsidRPr="00113D70">
        <w:rPr>
          <w:rFonts w:cs="Times New Roman"/>
          <w:szCs w:val="24"/>
        </w:rPr>
        <w:t>Educational Publishers.</w:t>
      </w:r>
    </w:p>
    <w:p w14:paraId="798CE074" w14:textId="77777777" w:rsidR="00113D70" w:rsidRPr="00113D70" w:rsidRDefault="00113D70" w:rsidP="0033688B">
      <w:pPr>
        <w:spacing w:line="240" w:lineRule="auto"/>
      </w:pPr>
      <w:r w:rsidRPr="00113D70">
        <w:rPr>
          <w:color w:val="000000" w:themeColor="text1"/>
          <w:lang w:eastAsia="en-GB"/>
        </w:rPr>
        <w:t>Elizabeth A. O’Loughlin 2017. ‘</w:t>
      </w:r>
      <w:r w:rsidRPr="00113D70">
        <w:t>Kenya’s Constitution in a Global Context.’ In</w:t>
      </w:r>
    </w:p>
    <w:p w14:paraId="2C8BB3A9" w14:textId="77777777" w:rsidR="00113D70" w:rsidRPr="00113D70" w:rsidRDefault="00113D70" w:rsidP="0033688B">
      <w:pPr>
        <w:spacing w:line="240" w:lineRule="auto"/>
        <w:rPr>
          <w:lang w:eastAsia="en-GB"/>
        </w:rPr>
      </w:pPr>
      <w:r w:rsidRPr="00113D70">
        <w:rPr>
          <w:i/>
        </w:rPr>
        <w:t>International Journal of Constitutional Law</w:t>
      </w:r>
      <w:r w:rsidRPr="00113D70">
        <w:t>, Volume 15, Issue,</w:t>
      </w:r>
      <w:r w:rsidRPr="00113D70">
        <w:rPr>
          <w:lang w:eastAsia="en-GB"/>
        </w:rPr>
        <w:t xml:space="preserve"> pp. 839-848.</w:t>
      </w:r>
    </w:p>
    <w:p w14:paraId="06781511" w14:textId="77777777" w:rsidR="00113D70" w:rsidRPr="00113D70" w:rsidRDefault="008819B3" w:rsidP="0033688B">
      <w:pPr>
        <w:spacing w:after="240" w:line="240" w:lineRule="auto"/>
        <w:rPr>
          <w:lang w:val="en-US"/>
        </w:rPr>
      </w:pPr>
      <w:hyperlink r:id="rId15" w:history="1">
        <w:r w:rsidR="00113D70" w:rsidRPr="00113D70">
          <w:rPr>
            <w:color w:val="0000FF"/>
            <w:u w:val="single"/>
            <w:lang w:eastAsia="en-GB"/>
          </w:rPr>
          <w:t>https://doi.org/10.1093/icon/mox062</w:t>
        </w:r>
      </w:hyperlink>
    </w:p>
    <w:p w14:paraId="1B1DC978" w14:textId="77777777" w:rsidR="00113D70" w:rsidRPr="00113D70" w:rsidRDefault="00113D70" w:rsidP="0033688B">
      <w:pPr>
        <w:spacing w:line="240" w:lineRule="auto"/>
      </w:pPr>
      <w:r w:rsidRPr="00113D70">
        <w:t xml:space="preserve">Ghai Jill Cottrell &amp; Yash Pal Ghai, 2018. </w:t>
      </w:r>
      <w:r w:rsidRPr="00113D70">
        <w:rPr>
          <w:i/>
        </w:rPr>
        <w:t>Understanding the Equal Rights Case.</w:t>
      </w:r>
    </w:p>
    <w:p w14:paraId="60C6CC6B" w14:textId="77777777" w:rsidR="00113D70" w:rsidRPr="00113D70" w:rsidRDefault="008819B3" w:rsidP="0033688B">
      <w:pPr>
        <w:spacing w:after="240" w:line="240" w:lineRule="auto"/>
      </w:pPr>
      <w:hyperlink r:id="rId16" w:history="1">
        <w:r w:rsidR="00113D70" w:rsidRPr="00113D70">
          <w:rPr>
            <w:rFonts w:eastAsiaTheme="majorEastAsia" w:cs="Times New Roman"/>
            <w:iCs/>
            <w:color w:val="0000FF"/>
            <w:szCs w:val="24"/>
            <w:u w:val="single"/>
          </w:rPr>
          <w:t>https://www.galck.org/equal-rights-case/</w:t>
        </w:r>
      </w:hyperlink>
    </w:p>
    <w:p w14:paraId="379BA779" w14:textId="77777777" w:rsidR="00113D70" w:rsidRPr="00113D70" w:rsidRDefault="00113D70" w:rsidP="00113D70">
      <w:pPr>
        <w:rPr>
          <w:lang w:val="en-US"/>
        </w:rPr>
      </w:pPr>
      <w:r w:rsidRPr="00113D70">
        <w:rPr>
          <w:lang w:val="en-US"/>
        </w:rPr>
        <w:t>GoK, 2010. Constitution of Kenya.</w:t>
      </w:r>
    </w:p>
    <w:p w14:paraId="3A71FA51" w14:textId="77777777" w:rsidR="00113D70" w:rsidRPr="00113D70" w:rsidRDefault="00113D70" w:rsidP="0033688B">
      <w:pPr>
        <w:spacing w:line="240" w:lineRule="auto"/>
        <w:rPr>
          <w:lang w:val="en-US"/>
        </w:rPr>
      </w:pPr>
      <w:r w:rsidRPr="00113D70">
        <w:rPr>
          <w:lang w:val="en-US"/>
        </w:rPr>
        <w:t>GoK, 1965. Sessional Paper No 10 of 1965: African Socialism and Its</w:t>
      </w:r>
    </w:p>
    <w:p w14:paraId="419CD243" w14:textId="77777777" w:rsidR="00113D70" w:rsidRPr="00113D70" w:rsidRDefault="00113D70" w:rsidP="0033688B">
      <w:pPr>
        <w:spacing w:after="240" w:line="240" w:lineRule="auto"/>
        <w:rPr>
          <w:lang w:val="en-US"/>
        </w:rPr>
      </w:pPr>
      <w:r w:rsidRPr="00113D70">
        <w:rPr>
          <w:lang w:val="en-US"/>
        </w:rPr>
        <w:t xml:space="preserve">Application to Planning. Nairobi Government Printer. </w:t>
      </w:r>
    </w:p>
    <w:p w14:paraId="51B508E4" w14:textId="77777777" w:rsidR="00113D70" w:rsidRPr="00113D70" w:rsidRDefault="00113D70" w:rsidP="00113D70">
      <w:pPr>
        <w:rPr>
          <w:lang w:val="en-US"/>
        </w:rPr>
      </w:pPr>
      <w:r w:rsidRPr="00113D70">
        <w:rPr>
          <w:lang w:val="en-US"/>
        </w:rPr>
        <w:t>GoK, 2022. The Children’s Act.</w:t>
      </w:r>
    </w:p>
    <w:p w14:paraId="3C5F87F9" w14:textId="77777777" w:rsidR="00113D70" w:rsidRPr="00113D70" w:rsidRDefault="00113D70" w:rsidP="00113D70">
      <w:pPr>
        <w:rPr>
          <w:lang w:val="en-US"/>
        </w:rPr>
      </w:pPr>
      <w:r w:rsidRPr="00113D70">
        <w:t>GoK, 2001. The</w:t>
      </w:r>
      <w:r w:rsidRPr="00113D70">
        <w:rPr>
          <w:lang w:val="en-US"/>
        </w:rPr>
        <w:t xml:space="preserve"> </w:t>
      </w:r>
      <w:r w:rsidRPr="00113D70">
        <w:t>Children’s Act.</w:t>
      </w:r>
    </w:p>
    <w:p w14:paraId="161C8C11" w14:textId="77777777" w:rsidR="00113D70" w:rsidRPr="00113D70" w:rsidRDefault="00113D70" w:rsidP="00113D70">
      <w:r w:rsidRPr="00113D70">
        <w:t>Hare, R. M. 1952. The Language of Morals Oxford: Oxford University Press.</w:t>
      </w:r>
    </w:p>
    <w:p w14:paraId="19B2661B" w14:textId="77777777" w:rsidR="00113D70" w:rsidRPr="00113D70" w:rsidRDefault="00113D70" w:rsidP="0033688B">
      <w:pPr>
        <w:spacing w:line="240" w:lineRule="auto"/>
        <w:rPr>
          <w:iCs/>
          <w:lang w:eastAsia="en-GB"/>
        </w:rPr>
      </w:pPr>
      <w:r w:rsidRPr="00113D70">
        <w:rPr>
          <w:lang w:eastAsia="en-GB"/>
        </w:rPr>
        <w:t xml:space="preserve">James T.G., 2016. </w:t>
      </w:r>
      <w:r w:rsidRPr="00113D70">
        <w:rPr>
          <w:iCs/>
          <w:lang w:eastAsia="en-GB"/>
        </w:rPr>
        <w:t>The Contested Empowerment of Kenya’s Judiciary,</w:t>
      </w:r>
    </w:p>
    <w:p w14:paraId="6C03DBE5" w14:textId="77777777" w:rsidR="00113D70" w:rsidRPr="00113D70" w:rsidRDefault="00113D70" w:rsidP="0033688B">
      <w:pPr>
        <w:spacing w:after="240" w:line="240" w:lineRule="auto"/>
        <w:rPr>
          <w:lang w:eastAsia="en-GB"/>
        </w:rPr>
      </w:pPr>
      <w:r w:rsidRPr="00113D70">
        <w:rPr>
          <w:iCs/>
          <w:lang w:eastAsia="en-GB"/>
        </w:rPr>
        <w:t>2010–2015: A Historical Institutional Analysis</w:t>
      </w:r>
      <w:r w:rsidRPr="00113D70">
        <w:rPr>
          <w:i/>
          <w:iCs/>
          <w:lang w:eastAsia="en-GB"/>
        </w:rPr>
        <w:t xml:space="preserve">. </w:t>
      </w:r>
      <w:r w:rsidRPr="00113D70">
        <w:rPr>
          <w:lang w:eastAsia="en-GB"/>
        </w:rPr>
        <w:t>Sheria Publishing House.</w:t>
      </w:r>
    </w:p>
    <w:p w14:paraId="097948F3" w14:textId="77777777" w:rsidR="00113D70" w:rsidRPr="00113D70" w:rsidRDefault="00113D70" w:rsidP="0033688B">
      <w:pPr>
        <w:spacing w:line="240" w:lineRule="auto"/>
      </w:pPr>
      <w:r w:rsidRPr="00113D70">
        <w:t>Joseph H., 2000. Liberalism and Culture', Culture, Citizenship, and</w:t>
      </w:r>
    </w:p>
    <w:p w14:paraId="0CF03D84" w14:textId="77777777" w:rsidR="00113D70" w:rsidRPr="00113D70" w:rsidRDefault="00113D70" w:rsidP="0033688B">
      <w:pPr>
        <w:spacing w:line="240" w:lineRule="auto"/>
      </w:pPr>
      <w:r w:rsidRPr="00113D70">
        <w:t>Community: A Contextual Exploration of Justice as Evenhandedness. N.P:</w:t>
      </w:r>
    </w:p>
    <w:p w14:paraId="77749D02" w14:textId="77777777" w:rsidR="00113D70" w:rsidRPr="00113D70" w:rsidRDefault="00113D70" w:rsidP="0033688B">
      <w:pPr>
        <w:spacing w:line="240" w:lineRule="auto"/>
      </w:pPr>
      <w:r w:rsidRPr="00113D70">
        <w:t>Oxford University Press.</w:t>
      </w:r>
    </w:p>
    <w:p w14:paraId="4FB84E6F" w14:textId="77777777" w:rsidR="00113D70" w:rsidRPr="00113D70" w:rsidRDefault="008819B3" w:rsidP="0033688B">
      <w:pPr>
        <w:spacing w:after="240" w:line="240" w:lineRule="auto"/>
      </w:pPr>
      <w:hyperlink r:id="rId17" w:history="1">
        <w:r w:rsidR="00113D70" w:rsidRPr="00113D70">
          <w:t>https://doi.org/10.1093/0198297688.003.0003</w:t>
        </w:r>
      </w:hyperlink>
      <w:r w:rsidR="00113D70" w:rsidRPr="00113D70">
        <w:t>, Accessed 30 Aug. 2022.</w:t>
      </w:r>
    </w:p>
    <w:p w14:paraId="34143D8C" w14:textId="77777777" w:rsidR="00113D70" w:rsidRPr="00113D70" w:rsidRDefault="00113D70" w:rsidP="0033688B">
      <w:pPr>
        <w:spacing w:line="240" w:lineRule="auto"/>
      </w:pPr>
      <w:r w:rsidRPr="00113D70">
        <w:t>Kuhnle, Ursula &amp; Krahl, Wolfgang 2002. ‘The Impact of Culture on Sex</w:t>
      </w:r>
    </w:p>
    <w:p w14:paraId="0789EF04" w14:textId="77777777" w:rsidR="00113D70" w:rsidRPr="00113D70" w:rsidRDefault="00113D70" w:rsidP="0033688B">
      <w:pPr>
        <w:spacing w:line="240" w:lineRule="auto"/>
      </w:pPr>
      <w:r w:rsidRPr="00113D70">
        <w:t xml:space="preserve">Assignment and Gender Development in Intersex Patients.’ In </w:t>
      </w:r>
      <w:r w:rsidRPr="00113D70">
        <w:rPr>
          <w:i/>
        </w:rPr>
        <w:t>Perspectives in</w:t>
      </w:r>
    </w:p>
    <w:p w14:paraId="51A3270C" w14:textId="77777777" w:rsidR="00113D70" w:rsidRPr="00113D70" w:rsidRDefault="00113D70" w:rsidP="0033688B">
      <w:pPr>
        <w:spacing w:line="240" w:lineRule="auto"/>
      </w:pPr>
      <w:r w:rsidRPr="00113D70">
        <w:rPr>
          <w:i/>
        </w:rPr>
        <w:t>Biology and Medicine,</w:t>
      </w:r>
      <w:r w:rsidRPr="00113D70">
        <w:t xml:space="preserve"> Vol. 45, No. 1. pp. 85-103.</w:t>
      </w:r>
    </w:p>
    <w:p w14:paraId="7B1DD2D8" w14:textId="77777777" w:rsidR="00113D70" w:rsidRPr="00113D70" w:rsidRDefault="00113D70" w:rsidP="0033688B">
      <w:pPr>
        <w:spacing w:after="240" w:line="240" w:lineRule="auto"/>
        <w:rPr>
          <w:lang w:val="en-US"/>
        </w:rPr>
      </w:pPr>
      <w:r w:rsidRPr="00113D70">
        <w:t>DOI:</w:t>
      </w:r>
      <w:hyperlink r:id="rId18" w:tgtFrame="_blank" w:history="1">
        <w:r w:rsidRPr="00113D70">
          <w:rPr>
            <w:rFonts w:cs="Times New Roman"/>
            <w:color w:val="0000FF"/>
            <w:szCs w:val="24"/>
            <w:u w:val="single"/>
          </w:rPr>
          <w:t>10.1353/pbm.2002.0011</w:t>
        </w:r>
      </w:hyperlink>
    </w:p>
    <w:p w14:paraId="11CA8E84" w14:textId="77777777" w:rsidR="00113D70" w:rsidRPr="00113D70" w:rsidRDefault="00113D70" w:rsidP="0033688B">
      <w:pPr>
        <w:spacing w:line="240" w:lineRule="auto"/>
      </w:pPr>
      <w:r w:rsidRPr="00113D70">
        <w:t>Kant Immanuel, 1998. Groundwork of The Metaphysics of Morals, translated by</w:t>
      </w:r>
    </w:p>
    <w:p w14:paraId="22CA0E0F" w14:textId="77777777" w:rsidR="00113D70" w:rsidRPr="00113D70" w:rsidRDefault="00113D70" w:rsidP="0033688B">
      <w:pPr>
        <w:spacing w:line="240" w:lineRule="auto"/>
      </w:pPr>
      <w:r w:rsidRPr="00113D70">
        <w:t>Mary J. Gregor with an introduction by Christine Korsgaard. Cambridge:</w:t>
      </w:r>
    </w:p>
    <w:p w14:paraId="3C8A2074" w14:textId="77777777" w:rsidR="00113D70" w:rsidRPr="00113D70" w:rsidRDefault="00113D70" w:rsidP="0033688B">
      <w:pPr>
        <w:spacing w:after="240" w:line="240" w:lineRule="auto"/>
      </w:pPr>
      <w:r w:rsidRPr="00113D70">
        <w:t>Cambridge University Press.</w:t>
      </w:r>
    </w:p>
    <w:p w14:paraId="52FD69A0" w14:textId="77777777" w:rsidR="00113D70" w:rsidRPr="00113D70" w:rsidRDefault="00113D70" w:rsidP="0033688B">
      <w:pPr>
        <w:spacing w:line="240" w:lineRule="auto"/>
        <w:rPr>
          <w:i/>
        </w:rPr>
      </w:pPr>
      <w:r w:rsidRPr="00113D70">
        <w:t xml:space="preserve">Leneck C. M. 1994. Definition of Gender. In </w:t>
      </w:r>
      <w:r w:rsidRPr="00113D70">
        <w:rPr>
          <w:i/>
        </w:rPr>
        <w:t>Canadian Medical Association</w:t>
      </w:r>
    </w:p>
    <w:p w14:paraId="5EC9EFE5" w14:textId="77777777" w:rsidR="00113D70" w:rsidRPr="00113D70" w:rsidRDefault="00113D70" w:rsidP="0033688B">
      <w:pPr>
        <w:spacing w:after="240" w:line="240" w:lineRule="auto"/>
      </w:pPr>
      <w:r w:rsidRPr="00113D70">
        <w:rPr>
          <w:i/>
        </w:rPr>
        <w:t>Journal,</w:t>
      </w:r>
      <w:r w:rsidRPr="00113D70">
        <w:t xml:space="preserve"> Jan 15; 150(2), p. 130.</w:t>
      </w:r>
    </w:p>
    <w:p w14:paraId="04051D0E" w14:textId="77777777" w:rsidR="00113D70" w:rsidRPr="00113D70" w:rsidRDefault="00113D70" w:rsidP="0033688B">
      <w:pPr>
        <w:spacing w:line="240" w:lineRule="auto"/>
        <w:rPr>
          <w:spacing w:val="-2"/>
        </w:rPr>
      </w:pPr>
      <w:r w:rsidRPr="00113D70">
        <w:rPr>
          <w:spacing w:val="-1"/>
        </w:rPr>
        <w:t>Kant, I</w:t>
      </w:r>
      <w:r w:rsidRPr="00113D70">
        <w:rPr>
          <w:spacing w:val="1"/>
        </w:rPr>
        <w:t>m</w:t>
      </w:r>
      <w:r w:rsidRPr="00113D70">
        <w:rPr>
          <w:spacing w:val="-1"/>
        </w:rPr>
        <w:t>m</w:t>
      </w:r>
      <w:r w:rsidRPr="00113D70">
        <w:t>a</w:t>
      </w:r>
      <w:r w:rsidRPr="00113D70">
        <w:rPr>
          <w:spacing w:val="1"/>
        </w:rPr>
        <w:t>nu</w:t>
      </w:r>
      <w:r w:rsidRPr="00113D70">
        <w:t>el</w:t>
      </w:r>
      <w:r w:rsidRPr="00113D70">
        <w:rPr>
          <w:spacing w:val="1"/>
        </w:rPr>
        <w:t>, 1952</w:t>
      </w:r>
      <w:r w:rsidRPr="00113D70">
        <w:t>.</w:t>
      </w:r>
      <w:r w:rsidRPr="00113D70">
        <w:rPr>
          <w:spacing w:val="-5"/>
        </w:rPr>
        <w:t xml:space="preserve"> </w:t>
      </w:r>
      <w:r w:rsidRPr="00113D70">
        <w:rPr>
          <w:spacing w:val="-3"/>
        </w:rPr>
        <w:t>T</w:t>
      </w:r>
      <w:r w:rsidRPr="00113D70">
        <w:rPr>
          <w:spacing w:val="1"/>
        </w:rPr>
        <w:t>h</w:t>
      </w:r>
      <w:r w:rsidRPr="00113D70">
        <w:t>e</w:t>
      </w:r>
      <w:r w:rsidRPr="00113D70">
        <w:rPr>
          <w:spacing w:val="-2"/>
        </w:rPr>
        <w:t xml:space="preserve"> </w:t>
      </w:r>
      <w:r w:rsidRPr="00113D70">
        <w:rPr>
          <w:spacing w:val="1"/>
        </w:rPr>
        <w:t>C</w:t>
      </w:r>
      <w:r w:rsidRPr="00113D70">
        <w:rPr>
          <w:spacing w:val="-1"/>
        </w:rPr>
        <w:t>r</w:t>
      </w:r>
      <w:r w:rsidRPr="00113D70">
        <w:t>iti</w:t>
      </w:r>
      <w:r w:rsidRPr="00113D70">
        <w:rPr>
          <w:spacing w:val="1"/>
        </w:rPr>
        <w:t>qu</w:t>
      </w:r>
      <w:r w:rsidRPr="00113D70">
        <w:t>e</w:t>
      </w:r>
      <w:r w:rsidRPr="00113D70">
        <w:rPr>
          <w:spacing w:val="-3"/>
        </w:rPr>
        <w:t xml:space="preserve"> </w:t>
      </w:r>
      <w:r w:rsidRPr="00113D70">
        <w:rPr>
          <w:spacing w:val="-1"/>
        </w:rPr>
        <w:t>o</w:t>
      </w:r>
      <w:r w:rsidRPr="00113D70">
        <w:t>f Pr</w:t>
      </w:r>
      <w:r w:rsidRPr="00113D70">
        <w:rPr>
          <w:spacing w:val="-1"/>
        </w:rPr>
        <w:t>a</w:t>
      </w:r>
      <w:r w:rsidRPr="00113D70">
        <w:t>ctical</w:t>
      </w:r>
      <w:r w:rsidRPr="00113D70">
        <w:rPr>
          <w:spacing w:val="-3"/>
        </w:rPr>
        <w:t xml:space="preserve"> </w:t>
      </w:r>
      <w:r w:rsidRPr="00113D70">
        <w:rPr>
          <w:spacing w:val="1"/>
        </w:rPr>
        <w:t>R</w:t>
      </w:r>
      <w:r w:rsidRPr="00113D70">
        <w:t>eas</w:t>
      </w:r>
      <w:r w:rsidRPr="00113D70">
        <w:rPr>
          <w:spacing w:val="1"/>
        </w:rPr>
        <w:t>o</w:t>
      </w:r>
      <w:r w:rsidRPr="00113D70">
        <w:rPr>
          <w:spacing w:val="-1"/>
        </w:rPr>
        <w:t>n</w:t>
      </w:r>
      <w:r w:rsidRPr="00113D70">
        <w:t>.</w:t>
      </w:r>
      <w:r w:rsidRPr="00113D70">
        <w:rPr>
          <w:spacing w:val="-5"/>
        </w:rPr>
        <w:t xml:space="preserve"> </w:t>
      </w:r>
      <w:r w:rsidRPr="00113D70">
        <w:rPr>
          <w:spacing w:val="1"/>
        </w:rPr>
        <w:t>Ch</w:t>
      </w:r>
      <w:r w:rsidRPr="00113D70">
        <w:t>ic</w:t>
      </w:r>
      <w:r w:rsidRPr="00113D70">
        <w:rPr>
          <w:spacing w:val="-3"/>
        </w:rPr>
        <w:t>a</w:t>
      </w:r>
      <w:r w:rsidRPr="00113D70">
        <w:rPr>
          <w:spacing w:val="-1"/>
        </w:rPr>
        <w:t>g</w:t>
      </w:r>
      <w:r w:rsidRPr="00113D70">
        <w:rPr>
          <w:spacing w:val="1"/>
        </w:rPr>
        <w:t>o</w:t>
      </w:r>
      <w:r w:rsidRPr="00113D70">
        <w:t>:</w:t>
      </w:r>
      <w:r w:rsidRPr="00113D70">
        <w:rPr>
          <w:spacing w:val="2"/>
        </w:rPr>
        <w:t xml:space="preserve"> </w:t>
      </w:r>
      <w:r w:rsidRPr="00113D70">
        <w:rPr>
          <w:spacing w:val="-3"/>
        </w:rPr>
        <w:t>T</w:t>
      </w:r>
      <w:r w:rsidRPr="00113D70">
        <w:rPr>
          <w:spacing w:val="1"/>
        </w:rPr>
        <w:t>h</w:t>
      </w:r>
      <w:r w:rsidRPr="00113D70">
        <w:t>e</w:t>
      </w:r>
    </w:p>
    <w:p w14:paraId="53385509" w14:textId="77777777" w:rsidR="00113D70" w:rsidRPr="00113D70" w:rsidRDefault="00113D70" w:rsidP="0033688B">
      <w:pPr>
        <w:spacing w:after="240" w:line="240" w:lineRule="auto"/>
        <w:rPr>
          <w:lang w:val="en-US"/>
        </w:rPr>
      </w:pPr>
      <w:r w:rsidRPr="00113D70">
        <w:t>U</w:t>
      </w:r>
      <w:r w:rsidRPr="00113D70">
        <w:rPr>
          <w:spacing w:val="1"/>
        </w:rPr>
        <w:t>n</w:t>
      </w:r>
      <w:r w:rsidRPr="00113D70">
        <w:t>i</w:t>
      </w:r>
      <w:r w:rsidRPr="00113D70">
        <w:rPr>
          <w:spacing w:val="-1"/>
        </w:rPr>
        <w:t>v</w:t>
      </w:r>
      <w:r w:rsidRPr="00113D70">
        <w:rPr>
          <w:spacing w:val="2"/>
        </w:rPr>
        <w:t>e</w:t>
      </w:r>
      <w:r w:rsidRPr="00113D70">
        <w:rPr>
          <w:spacing w:val="-1"/>
        </w:rPr>
        <w:t>r</w:t>
      </w:r>
      <w:r w:rsidRPr="00113D70">
        <w:t>si</w:t>
      </w:r>
      <w:r w:rsidRPr="00113D70">
        <w:rPr>
          <w:spacing w:val="2"/>
        </w:rPr>
        <w:t>t</w:t>
      </w:r>
      <w:r w:rsidRPr="00113D70">
        <w:t>y</w:t>
      </w:r>
      <w:r w:rsidRPr="00113D70">
        <w:rPr>
          <w:spacing w:val="-9"/>
        </w:rPr>
        <w:t xml:space="preserve"> </w:t>
      </w:r>
      <w:r w:rsidRPr="00113D70">
        <w:rPr>
          <w:spacing w:val="1"/>
        </w:rPr>
        <w:t>o</w:t>
      </w:r>
      <w:r w:rsidRPr="00113D70">
        <w:t xml:space="preserve">f </w:t>
      </w:r>
      <w:r w:rsidRPr="00113D70">
        <w:rPr>
          <w:spacing w:val="-2"/>
        </w:rPr>
        <w:t>C</w:t>
      </w:r>
      <w:r w:rsidRPr="00113D70">
        <w:rPr>
          <w:spacing w:val="1"/>
        </w:rPr>
        <w:t>h</w:t>
      </w:r>
      <w:r w:rsidRPr="00113D70">
        <w:t>ica</w:t>
      </w:r>
      <w:r w:rsidRPr="00113D70">
        <w:rPr>
          <w:spacing w:val="-2"/>
        </w:rPr>
        <w:t>g</w:t>
      </w:r>
      <w:r w:rsidRPr="00113D70">
        <w:t>o Pr</w:t>
      </w:r>
      <w:r w:rsidRPr="00113D70">
        <w:rPr>
          <w:spacing w:val="-1"/>
        </w:rPr>
        <w:t>e</w:t>
      </w:r>
      <w:r w:rsidRPr="00113D70">
        <w:t xml:space="preserve">ss, p 421. </w:t>
      </w:r>
    </w:p>
    <w:p w14:paraId="66BE25B3" w14:textId="77777777" w:rsidR="00113D70" w:rsidRPr="00574D1A" w:rsidRDefault="00113D70" w:rsidP="00113D70">
      <w:r w:rsidRPr="00113D70">
        <w:lastRenderedPageBreak/>
        <w:t xml:space="preserve">Kenya Law Report, 2016. Petition number </w:t>
      </w:r>
      <w:r w:rsidRPr="0033688B">
        <w:rPr>
          <w:rFonts w:cs="Times New Roman"/>
          <w:bCs/>
          <w:szCs w:val="24"/>
        </w:rPr>
        <w:t>150.</w:t>
      </w:r>
    </w:p>
    <w:p w14:paraId="075935AE" w14:textId="77777777" w:rsidR="00113D70" w:rsidRPr="00113D70" w:rsidRDefault="00113D70" w:rsidP="00113D70">
      <w:pPr>
        <w:rPr>
          <w:rFonts w:cs="Times New Roman"/>
          <w:color w:val="0000FF"/>
          <w:szCs w:val="24"/>
          <w:u w:val="single"/>
        </w:rPr>
      </w:pPr>
      <w:r w:rsidRPr="00113D70">
        <w:t xml:space="preserve">Kenya Law Report. Penal Code Cap 63 Laws of Kenya. </w:t>
      </w:r>
      <w:hyperlink r:id="rId19" w:history="1">
        <w:r w:rsidRPr="00113D70">
          <w:rPr>
            <w:rFonts w:cs="Times New Roman"/>
            <w:color w:val="0000FF"/>
            <w:szCs w:val="24"/>
            <w:u w:val="single"/>
          </w:rPr>
          <w:t>https://bit.ly/2BANFhX</w:t>
        </w:r>
      </w:hyperlink>
    </w:p>
    <w:p w14:paraId="6817223A" w14:textId="77777777" w:rsidR="00113D70" w:rsidRPr="00113D70" w:rsidRDefault="00113D70" w:rsidP="00113D70">
      <w:pPr>
        <w:rPr>
          <w:lang w:val="en-US"/>
        </w:rPr>
      </w:pPr>
      <w:r w:rsidRPr="00113D70">
        <w:t>Kenya Law Report, 2013. Case No 147 of 2013. https://bit.ly/3RneKYd</w:t>
      </w:r>
    </w:p>
    <w:p w14:paraId="512FCB67" w14:textId="3EB9CF07" w:rsidR="00113D70" w:rsidRPr="00113D70" w:rsidRDefault="00113D70" w:rsidP="0033688B">
      <w:pPr>
        <w:spacing w:line="240" w:lineRule="auto"/>
        <w:rPr>
          <w:lang w:val="en-US"/>
        </w:rPr>
      </w:pPr>
      <w:r w:rsidRPr="00113D70">
        <w:rPr>
          <w:lang w:val="en-US"/>
        </w:rPr>
        <w:t xml:space="preserve">Little William, 12016. Introduction to Sociology. 2nd Canadian Edition. Victoria: </w:t>
      </w:r>
    </w:p>
    <w:p w14:paraId="319B04A9" w14:textId="77777777" w:rsidR="00113D70" w:rsidRPr="00113D70" w:rsidRDefault="00113D70" w:rsidP="0033688B">
      <w:pPr>
        <w:spacing w:after="240" w:line="240" w:lineRule="auto"/>
        <w:rPr>
          <w:lang w:val="en-US"/>
        </w:rPr>
      </w:pPr>
      <w:r w:rsidRPr="00113D70">
        <w:rPr>
          <w:lang w:val="en-US"/>
        </w:rPr>
        <w:t>BCcampus, pp. 296-297.</w:t>
      </w:r>
    </w:p>
    <w:p w14:paraId="03B0E7F2" w14:textId="77777777" w:rsidR="00113D70" w:rsidRPr="00113D70" w:rsidRDefault="00113D70" w:rsidP="0033688B">
      <w:pPr>
        <w:spacing w:line="240" w:lineRule="auto"/>
        <w:rPr>
          <w:lang w:eastAsia="en-GB"/>
        </w:rPr>
      </w:pPr>
      <w:r w:rsidRPr="00113D70">
        <w:rPr>
          <w:lang w:eastAsia="en-GB"/>
        </w:rPr>
        <w:t>Morris Kiwinda Mbondenyi, Evelyne Owiye Asaala, Tom Kabau, &amp; Attiya Waris,</w:t>
      </w:r>
    </w:p>
    <w:p w14:paraId="34BEEB28" w14:textId="77777777" w:rsidR="00113D70" w:rsidRPr="00113D70" w:rsidRDefault="00113D70" w:rsidP="0033688B">
      <w:pPr>
        <w:spacing w:line="240" w:lineRule="auto"/>
        <w:rPr>
          <w:iCs/>
          <w:lang w:eastAsia="en-GB"/>
        </w:rPr>
      </w:pPr>
      <w:r w:rsidRPr="00113D70">
        <w:rPr>
          <w:lang w:eastAsia="en-GB"/>
        </w:rPr>
        <w:t xml:space="preserve">eds. 2015. </w:t>
      </w:r>
      <w:r w:rsidRPr="00113D70">
        <w:rPr>
          <w:iCs/>
          <w:lang w:eastAsia="en-GB"/>
        </w:rPr>
        <w:t>Human Rights and Democratic Governance in Kenya: A Post-2007</w:t>
      </w:r>
    </w:p>
    <w:p w14:paraId="1B5038DF" w14:textId="1AA126C8" w:rsidR="00113D70" w:rsidRPr="00113D70" w:rsidRDefault="00113D70" w:rsidP="0033688B">
      <w:pPr>
        <w:spacing w:after="240" w:line="240" w:lineRule="auto"/>
        <w:rPr>
          <w:rFonts w:cs="Times New Roman"/>
          <w:sz w:val="20"/>
          <w:szCs w:val="24"/>
        </w:rPr>
      </w:pPr>
      <w:r w:rsidRPr="00113D70">
        <w:rPr>
          <w:iCs/>
          <w:lang w:eastAsia="en-GB"/>
        </w:rPr>
        <w:t>Appraisal</w:t>
      </w:r>
      <w:r w:rsidRPr="00113D70">
        <w:rPr>
          <w:i/>
          <w:iCs/>
          <w:lang w:eastAsia="en-GB"/>
        </w:rPr>
        <w:t xml:space="preserve">. </w:t>
      </w:r>
      <w:r w:rsidRPr="00113D70">
        <w:rPr>
          <w:lang w:eastAsia="en-GB"/>
        </w:rPr>
        <w:t>Pretoria: Pretoria University Law Press</w:t>
      </w:r>
      <w:r w:rsidR="00574D1A">
        <w:rPr>
          <w:lang w:eastAsia="en-GB"/>
        </w:rPr>
        <w:t>.</w:t>
      </w:r>
    </w:p>
    <w:p w14:paraId="49126F47" w14:textId="77777777" w:rsidR="00113D70" w:rsidRPr="00113D70" w:rsidRDefault="00113D70" w:rsidP="00574D1A">
      <w:pPr>
        <w:spacing w:line="240" w:lineRule="auto"/>
      </w:pPr>
      <w:r w:rsidRPr="00113D70">
        <w:t xml:space="preserve">Müller, A., Daskilewicz, K., Kabwe, M.L. </w:t>
      </w:r>
      <w:r w:rsidRPr="00113D70">
        <w:rPr>
          <w:i/>
          <w:iCs/>
        </w:rPr>
        <w:t xml:space="preserve">et al, </w:t>
      </w:r>
      <w:r w:rsidRPr="00113D70">
        <w:rPr>
          <w:iCs/>
        </w:rPr>
        <w:t>2021</w:t>
      </w:r>
      <w:r w:rsidRPr="00113D70">
        <w:rPr>
          <w:i/>
          <w:iCs/>
        </w:rPr>
        <w:t>.</w:t>
      </w:r>
      <w:r w:rsidRPr="00113D70">
        <w:t xml:space="preserve"> ‘Experience of and Factors</w:t>
      </w:r>
    </w:p>
    <w:p w14:paraId="6343CC96" w14:textId="77777777" w:rsidR="00113D70" w:rsidRPr="00113D70" w:rsidRDefault="00113D70" w:rsidP="00574D1A">
      <w:pPr>
        <w:spacing w:line="240" w:lineRule="auto"/>
      </w:pPr>
      <w:r w:rsidRPr="00113D70">
        <w:t>Associated With Violence against Sexual and Gender Minorities in Nine African</w:t>
      </w:r>
    </w:p>
    <w:p w14:paraId="3B0C6F82" w14:textId="77777777" w:rsidR="00113D70" w:rsidRPr="00113D70" w:rsidRDefault="00113D70" w:rsidP="00574D1A">
      <w:pPr>
        <w:spacing w:line="240" w:lineRule="auto"/>
      </w:pPr>
      <w:r w:rsidRPr="00113D70">
        <w:t xml:space="preserve">Countries: A Cross Sectional Study.’ In </w:t>
      </w:r>
      <w:r w:rsidRPr="00113D70">
        <w:rPr>
          <w:i/>
          <w:iCs/>
        </w:rPr>
        <w:t>BMC Public Health</w:t>
      </w:r>
      <w:r w:rsidRPr="00113D70">
        <w:t xml:space="preserve"> </w:t>
      </w:r>
      <w:r w:rsidRPr="00113D70">
        <w:rPr>
          <w:bCs/>
        </w:rPr>
        <w:t>21</w:t>
      </w:r>
      <w:r w:rsidRPr="00113D70">
        <w:t>, 357.</w:t>
      </w:r>
    </w:p>
    <w:p w14:paraId="671E9FF9" w14:textId="648D0629" w:rsidR="00113D70" w:rsidRPr="00113D70" w:rsidRDefault="008819B3" w:rsidP="0033688B">
      <w:pPr>
        <w:spacing w:after="240" w:line="240" w:lineRule="auto"/>
        <w:rPr>
          <w:rFonts w:cs="Times New Roman"/>
          <w:color w:val="0000FF"/>
          <w:szCs w:val="24"/>
          <w:u w:val="single"/>
        </w:rPr>
      </w:pPr>
      <w:hyperlink r:id="rId20" w:history="1">
        <w:r w:rsidR="00113D70" w:rsidRPr="00113D70">
          <w:rPr>
            <w:rFonts w:cs="Times New Roman"/>
            <w:color w:val="0000FF"/>
            <w:szCs w:val="24"/>
            <w:u w:val="single"/>
          </w:rPr>
          <w:t>https://doi.org/10.1186/s12889-021-10314-w</w:t>
        </w:r>
      </w:hyperlink>
      <w:r w:rsidR="00574D1A">
        <w:rPr>
          <w:rFonts w:cs="Times New Roman"/>
          <w:color w:val="0000FF"/>
          <w:szCs w:val="24"/>
          <w:u w:val="single"/>
        </w:rPr>
        <w:t>.</w:t>
      </w:r>
    </w:p>
    <w:p w14:paraId="22F56308" w14:textId="77777777" w:rsidR="00113D70" w:rsidRPr="00113D70" w:rsidRDefault="00113D70" w:rsidP="0033688B">
      <w:pPr>
        <w:spacing w:line="240" w:lineRule="auto"/>
        <w:rPr>
          <w:lang w:eastAsia="en-GB"/>
        </w:rPr>
      </w:pPr>
      <w:r w:rsidRPr="00113D70">
        <w:rPr>
          <w:lang w:eastAsia="en-GB"/>
        </w:rPr>
        <w:t>Mutunga W. ‘People Power in the 2010 Constitution: A Reality or an Illusion?’</w:t>
      </w:r>
    </w:p>
    <w:p w14:paraId="3AE4F609" w14:textId="77777777" w:rsidR="00113D70" w:rsidRPr="00113D70" w:rsidRDefault="008819B3" w:rsidP="0033688B">
      <w:pPr>
        <w:spacing w:after="240" w:line="240" w:lineRule="auto"/>
        <w:rPr>
          <w:rFonts w:eastAsia="Times New Roman"/>
          <w:color w:val="0000FF"/>
          <w:szCs w:val="24"/>
          <w:u w:val="single"/>
          <w:lang w:eastAsia="en-GB"/>
        </w:rPr>
      </w:pPr>
      <w:hyperlink r:id="rId21" w:history="1">
        <w:r w:rsidR="00113D70" w:rsidRPr="00113D70">
          <w:rPr>
            <w:rFonts w:eastAsia="Times New Roman" w:cs="Times New Roman"/>
            <w:color w:val="0000FF"/>
            <w:szCs w:val="24"/>
            <w:u w:val="single"/>
            <w:lang w:eastAsia="en-GB"/>
          </w:rPr>
          <w:t>https://bit.ly/3QichNi</w:t>
        </w:r>
      </w:hyperlink>
    </w:p>
    <w:p w14:paraId="5993CED9" w14:textId="77777777" w:rsidR="00113D70" w:rsidRPr="00113D70" w:rsidRDefault="00113D70" w:rsidP="0033688B">
      <w:pPr>
        <w:spacing w:line="240" w:lineRule="auto"/>
      </w:pPr>
      <w:r w:rsidRPr="00113D70">
        <w:t>Neculaesei, Angelica-Nicoleta, 2015. ‘Culture and Gender Role Differences.’</w:t>
      </w:r>
    </w:p>
    <w:p w14:paraId="16733161" w14:textId="77777777" w:rsidR="00113D70" w:rsidRPr="00113D70" w:rsidRDefault="00113D70" w:rsidP="0033688B">
      <w:pPr>
        <w:spacing w:line="240" w:lineRule="auto"/>
      </w:pPr>
      <w:r w:rsidRPr="00113D70">
        <w:t xml:space="preserve">In </w:t>
      </w:r>
      <w:r w:rsidRPr="00113D70">
        <w:rPr>
          <w:i/>
        </w:rPr>
        <w:t>Cross Cultural Management Journal</w:t>
      </w:r>
      <w:r w:rsidRPr="00113D70">
        <w:t>, Vol. XVII, No. 1: 31-35.</w:t>
      </w:r>
    </w:p>
    <w:p w14:paraId="3865B0BB" w14:textId="77777777" w:rsidR="00113D70" w:rsidRPr="00113D70" w:rsidRDefault="00113D70" w:rsidP="00113D70">
      <w:r w:rsidRPr="00113D70">
        <w:t>Ojwang, J. B. &amp; J.N.K. Mugambi, eds. 1989. The S. M Otieno Case: Death and</w:t>
      </w:r>
    </w:p>
    <w:p w14:paraId="3039DA0A" w14:textId="77777777" w:rsidR="00113D70" w:rsidRPr="00113D70" w:rsidRDefault="00113D70" w:rsidP="00113D70">
      <w:r w:rsidRPr="00113D70">
        <w:t xml:space="preserve">Burial in Modern Kenya. Nairobi: Nairobi University Press.  </w:t>
      </w:r>
    </w:p>
    <w:p w14:paraId="4806885B" w14:textId="77777777" w:rsidR="00113D70" w:rsidRPr="00113D70" w:rsidRDefault="00113D70" w:rsidP="00113D70">
      <w:pPr>
        <w:rPr>
          <w:lang w:val="en-US"/>
        </w:rPr>
      </w:pPr>
      <w:r w:rsidRPr="00113D70">
        <w:rPr>
          <w:lang w:val="en-US"/>
        </w:rPr>
        <w:t>Oruka, H. O. 1990. Ethics. Nairobi: University of Nairobi Press,</w:t>
      </w:r>
    </w:p>
    <w:p w14:paraId="39F2DAE6" w14:textId="77777777" w:rsidR="00113D70" w:rsidRPr="00113D70" w:rsidRDefault="00113D70" w:rsidP="0033688B">
      <w:pPr>
        <w:spacing w:line="240" w:lineRule="auto"/>
      </w:pPr>
      <w:r w:rsidRPr="00113D70">
        <w:t>Oruka, H Odera, 1996. The Philosophy of Liberty: An Essay on Political</w:t>
      </w:r>
    </w:p>
    <w:p w14:paraId="34C4857E" w14:textId="77777777" w:rsidR="00113D70" w:rsidRPr="00113D70" w:rsidRDefault="00113D70" w:rsidP="0033688B">
      <w:pPr>
        <w:spacing w:line="240" w:lineRule="auto"/>
      </w:pPr>
      <w:r w:rsidRPr="00113D70">
        <w:t>Philosophy, 2nd ed. Nairobi: Standard Textbooks Graphics and Publishing</w:t>
      </w:r>
    </w:p>
    <w:p w14:paraId="724207BD" w14:textId="77777777" w:rsidR="00113D70" w:rsidRPr="00113D70" w:rsidRDefault="00113D70" w:rsidP="0033688B">
      <w:pPr>
        <w:spacing w:after="240" w:line="240" w:lineRule="auto"/>
      </w:pPr>
      <w:r w:rsidRPr="00113D70">
        <w:t>Company.</w:t>
      </w:r>
    </w:p>
    <w:p w14:paraId="49427A53" w14:textId="77777777" w:rsidR="00113D70" w:rsidRPr="00113D70" w:rsidRDefault="00113D70" w:rsidP="00113D70">
      <w:r w:rsidRPr="00113D70">
        <w:t>Plato, 1925. ‘Minos 313 a’ In Plato in Twelve Volumes, Vol. 9 translated by</w:t>
      </w:r>
    </w:p>
    <w:p w14:paraId="165BA55C" w14:textId="77777777" w:rsidR="00113D70" w:rsidRPr="00113D70" w:rsidRDefault="00113D70" w:rsidP="0033688B">
      <w:pPr>
        <w:spacing w:line="240" w:lineRule="auto"/>
      </w:pPr>
      <w:r w:rsidRPr="00113D70">
        <w:t>W.R.M. Lamb. Cambridge, MA, Harvard University Press; London, William</w:t>
      </w:r>
    </w:p>
    <w:p w14:paraId="54E380C7" w14:textId="77777777" w:rsidR="00113D70" w:rsidRPr="00113D70" w:rsidRDefault="00113D70" w:rsidP="0033688B">
      <w:pPr>
        <w:spacing w:after="240" w:line="240" w:lineRule="auto"/>
      </w:pPr>
      <w:r w:rsidRPr="00113D70">
        <w:t xml:space="preserve">Heinemann Ltd. </w:t>
      </w:r>
    </w:p>
    <w:p w14:paraId="6E72E0E8" w14:textId="77777777" w:rsidR="00113D70" w:rsidRPr="00113D70" w:rsidRDefault="00113D70" w:rsidP="0033688B">
      <w:pPr>
        <w:spacing w:line="240" w:lineRule="auto"/>
        <w:rPr>
          <w:i/>
        </w:rPr>
      </w:pPr>
      <w:r w:rsidRPr="00113D70">
        <w:t xml:space="preserve">Rafferty Jason, 2018. ‘Gender Identity Development in Children.’ In </w:t>
      </w:r>
      <w:r w:rsidRPr="00113D70">
        <w:rPr>
          <w:i/>
        </w:rPr>
        <w:t>American</w:t>
      </w:r>
    </w:p>
    <w:p w14:paraId="482B0430" w14:textId="77777777" w:rsidR="00113D70" w:rsidRPr="00113D70" w:rsidRDefault="00113D70" w:rsidP="0033688B">
      <w:pPr>
        <w:spacing w:after="240" w:line="240" w:lineRule="auto"/>
      </w:pPr>
      <w:r w:rsidRPr="00113D70">
        <w:rPr>
          <w:i/>
        </w:rPr>
        <w:t xml:space="preserve">Academy of Paediatrics. </w:t>
      </w:r>
      <w:r w:rsidRPr="00113D70">
        <w:t>https://bit.ly/3RgKr5s</w:t>
      </w:r>
      <w:hyperlink w:history="1"/>
    </w:p>
    <w:p w14:paraId="559B775B" w14:textId="77777777" w:rsidR="00113D70" w:rsidRPr="00113D70" w:rsidRDefault="00113D70" w:rsidP="0033688B">
      <w:pPr>
        <w:spacing w:line="240" w:lineRule="auto"/>
      </w:pPr>
      <w:r w:rsidRPr="00113D70">
        <w:t>Thoreau,H. D. 1854. Walden; or, Life in the Woods. Boston, MA: Ticknor and</w:t>
      </w:r>
    </w:p>
    <w:p w14:paraId="483ECAA1" w14:textId="77777777" w:rsidR="00113D70" w:rsidRPr="00113D70" w:rsidRDefault="00113D70" w:rsidP="0033688B">
      <w:pPr>
        <w:spacing w:after="240" w:line="240" w:lineRule="auto"/>
      </w:pPr>
      <w:r w:rsidRPr="00113D70">
        <w:t xml:space="preserve">Fields; Carens, </w:t>
      </w:r>
    </w:p>
    <w:p w14:paraId="40352720" w14:textId="77777777" w:rsidR="00113D70" w:rsidRPr="00113D70" w:rsidRDefault="00113D70" w:rsidP="0033688B">
      <w:pPr>
        <w:spacing w:line="240" w:lineRule="auto"/>
      </w:pPr>
      <w:r w:rsidRPr="00113D70">
        <w:t>Turner, Ralph H. 1988. ‘Personality in Society: Social Psychology’s Contribution</w:t>
      </w:r>
    </w:p>
    <w:p w14:paraId="522AD5C8" w14:textId="77777777" w:rsidR="00113D70" w:rsidRPr="00113D70" w:rsidRDefault="00113D70" w:rsidP="0033688B">
      <w:pPr>
        <w:spacing w:line="240" w:lineRule="auto"/>
      </w:pPr>
      <w:r w:rsidRPr="00113D70">
        <w:t xml:space="preserve">to Sociology.’ In </w:t>
      </w:r>
      <w:r w:rsidRPr="00113D70">
        <w:rPr>
          <w:i/>
        </w:rPr>
        <w:t>Social Psychology Quarterly</w:t>
      </w:r>
      <w:r w:rsidRPr="00113D70">
        <w:t xml:space="preserve">, Vol. 51, No. 1, 1988, pp. 1–10. </w:t>
      </w:r>
    </w:p>
    <w:p w14:paraId="50584DB8" w14:textId="77777777" w:rsidR="00113D70" w:rsidRPr="00113D70" w:rsidRDefault="008819B3" w:rsidP="0033688B">
      <w:pPr>
        <w:spacing w:after="240" w:line="240" w:lineRule="auto"/>
      </w:pPr>
      <w:hyperlink r:id="rId22" w:history="1">
        <w:r w:rsidR="00113D70" w:rsidRPr="00113D70">
          <w:rPr>
            <w:rFonts w:cs="Times New Roman"/>
            <w:color w:val="0000FF"/>
            <w:szCs w:val="24"/>
            <w:u w:val="single"/>
          </w:rPr>
          <w:t>https://doi.org/10.2307/2786979</w:t>
        </w:r>
      </w:hyperlink>
      <w:r w:rsidR="00113D70" w:rsidRPr="00113D70">
        <w:t>. Accessed 5 Sep. 2022.</w:t>
      </w:r>
    </w:p>
    <w:p w14:paraId="341F8452" w14:textId="77777777" w:rsidR="00113D70" w:rsidRPr="0033688B" w:rsidRDefault="00113D70" w:rsidP="0033688B">
      <w:pPr>
        <w:spacing w:line="240" w:lineRule="auto"/>
        <w:rPr>
          <w:i/>
          <w:szCs w:val="24"/>
        </w:rPr>
      </w:pPr>
      <w:r w:rsidRPr="0033688B">
        <w:rPr>
          <w:szCs w:val="24"/>
        </w:rPr>
        <w:t xml:space="preserve">UN. </w:t>
      </w:r>
      <w:r w:rsidRPr="0033688B">
        <w:rPr>
          <w:i/>
          <w:szCs w:val="24"/>
        </w:rPr>
        <w:t>About LGBTI people and human rights: OHCHR and the human rights of</w:t>
      </w:r>
    </w:p>
    <w:p w14:paraId="38241C0D" w14:textId="77777777" w:rsidR="00113D70" w:rsidRPr="0033688B" w:rsidRDefault="00113D70" w:rsidP="0033688B">
      <w:pPr>
        <w:spacing w:after="240" w:line="240" w:lineRule="auto"/>
        <w:rPr>
          <w:szCs w:val="24"/>
          <w:lang w:val="en-US"/>
        </w:rPr>
      </w:pPr>
      <w:r w:rsidRPr="0033688B">
        <w:rPr>
          <w:i/>
          <w:szCs w:val="24"/>
        </w:rPr>
        <w:t>LGBTI people</w:t>
      </w:r>
      <w:r w:rsidRPr="0033688B">
        <w:rPr>
          <w:szCs w:val="24"/>
        </w:rPr>
        <w:t xml:space="preserve">. </w:t>
      </w:r>
      <w:r w:rsidRPr="0033688B">
        <w:rPr>
          <w:szCs w:val="24"/>
          <w:lang w:val="en-US"/>
        </w:rPr>
        <w:t xml:space="preserve"> https://bit.ly/3q0VN1i</w:t>
      </w:r>
    </w:p>
    <w:p w14:paraId="3FF65ED5" w14:textId="77777777" w:rsidR="00113D70" w:rsidRPr="0033688B" w:rsidRDefault="00113D70" w:rsidP="0033688B">
      <w:pPr>
        <w:spacing w:after="240" w:line="240" w:lineRule="auto"/>
        <w:rPr>
          <w:szCs w:val="24"/>
          <w:lang w:val="en-US"/>
        </w:rPr>
      </w:pPr>
      <w:r w:rsidRPr="0033688B">
        <w:rPr>
          <w:szCs w:val="24"/>
          <w:lang w:val="en-US"/>
        </w:rPr>
        <w:t>UN, 1948. Universal Declaration of Human Rights.</w:t>
      </w:r>
    </w:p>
    <w:p w14:paraId="5EFF02E9" w14:textId="77777777" w:rsidR="00113D70" w:rsidRPr="0033688B" w:rsidRDefault="00113D70" w:rsidP="0033688B">
      <w:pPr>
        <w:spacing w:after="240" w:line="240" w:lineRule="auto"/>
        <w:rPr>
          <w:szCs w:val="24"/>
        </w:rPr>
      </w:pPr>
      <w:r w:rsidRPr="0033688B">
        <w:rPr>
          <w:szCs w:val="24"/>
          <w:lang w:val="en-US"/>
        </w:rPr>
        <w:t xml:space="preserve">UN, 1966. </w:t>
      </w:r>
      <w:r w:rsidRPr="0033688B">
        <w:rPr>
          <w:szCs w:val="24"/>
        </w:rPr>
        <w:t xml:space="preserve">International Covenant on Civil and Political Rights. </w:t>
      </w:r>
    </w:p>
    <w:p w14:paraId="781F7C88" w14:textId="77777777" w:rsidR="00113D70" w:rsidRPr="0033688B" w:rsidRDefault="00113D70" w:rsidP="0033688B">
      <w:pPr>
        <w:spacing w:after="240" w:line="240" w:lineRule="auto"/>
        <w:rPr>
          <w:szCs w:val="24"/>
        </w:rPr>
      </w:pPr>
      <w:r w:rsidRPr="0033688B">
        <w:rPr>
          <w:szCs w:val="24"/>
          <w:lang w:val="en-US"/>
        </w:rPr>
        <w:lastRenderedPageBreak/>
        <w:t xml:space="preserve">UN, 1989. </w:t>
      </w:r>
      <w:r w:rsidRPr="0033688B">
        <w:rPr>
          <w:szCs w:val="24"/>
        </w:rPr>
        <w:t>Convention on the Rights of the Child (CRC)</w:t>
      </w:r>
    </w:p>
    <w:p w14:paraId="7E4DA713" w14:textId="77777777" w:rsidR="00113D70" w:rsidRPr="0033688B" w:rsidRDefault="00113D70" w:rsidP="0033688B">
      <w:pPr>
        <w:spacing w:after="240" w:line="240" w:lineRule="auto"/>
        <w:rPr>
          <w:szCs w:val="24"/>
        </w:rPr>
      </w:pPr>
      <w:r w:rsidRPr="0033688B">
        <w:rPr>
          <w:szCs w:val="24"/>
        </w:rPr>
        <w:t>UN. 1948. UDHR.</w:t>
      </w:r>
    </w:p>
    <w:p w14:paraId="5F1B7648" w14:textId="77777777" w:rsidR="00113D70" w:rsidRPr="0033688B" w:rsidRDefault="00113D70" w:rsidP="0033688B">
      <w:pPr>
        <w:spacing w:line="240" w:lineRule="auto"/>
        <w:rPr>
          <w:rFonts w:cs="Times New Roman"/>
          <w:szCs w:val="24"/>
        </w:rPr>
      </w:pPr>
      <w:r w:rsidRPr="0033688B">
        <w:rPr>
          <w:rFonts w:cs="Times New Roman"/>
          <w:szCs w:val="24"/>
        </w:rPr>
        <w:t>Weidler E. M, &amp; Karen E P., 2019. ‘The Impact of Culture on Disclosure in</w:t>
      </w:r>
    </w:p>
    <w:p w14:paraId="3B959BFF" w14:textId="77777777" w:rsidR="00113D70" w:rsidRPr="0033688B" w:rsidRDefault="00113D70" w:rsidP="0033688B">
      <w:pPr>
        <w:spacing w:line="240" w:lineRule="auto"/>
        <w:rPr>
          <w:rFonts w:cs="Times New Roman"/>
          <w:szCs w:val="24"/>
        </w:rPr>
      </w:pPr>
      <w:r w:rsidRPr="0033688B">
        <w:rPr>
          <w:rFonts w:cs="Times New Roman"/>
          <w:szCs w:val="24"/>
        </w:rPr>
        <w:t xml:space="preserve">Differences of Sex Development.’ In </w:t>
      </w:r>
      <w:r w:rsidRPr="0033688B">
        <w:rPr>
          <w:rFonts w:cs="Times New Roman"/>
          <w:i/>
          <w:iCs/>
          <w:szCs w:val="24"/>
        </w:rPr>
        <w:t>Seminars in Pediatric Surgery,</w:t>
      </w:r>
      <w:r w:rsidRPr="0033688B">
        <w:rPr>
          <w:rFonts w:cs="Times New Roman"/>
          <w:szCs w:val="24"/>
        </w:rPr>
        <w:t xml:space="preserve"> Vol. 28, No.</w:t>
      </w:r>
    </w:p>
    <w:p w14:paraId="758E586E" w14:textId="77777777" w:rsidR="00113D70" w:rsidRPr="0033688B" w:rsidRDefault="00113D70" w:rsidP="0033688B">
      <w:pPr>
        <w:spacing w:line="240" w:lineRule="auto"/>
        <w:rPr>
          <w:rFonts w:cs="Times New Roman"/>
          <w:szCs w:val="24"/>
        </w:rPr>
      </w:pPr>
      <w:r w:rsidRPr="0033688B">
        <w:rPr>
          <w:rFonts w:cs="Times New Roman"/>
          <w:szCs w:val="24"/>
        </w:rPr>
        <w:t xml:space="preserve">5. DOI: 10.1016/j.sempedsurg.2019.150840; </w:t>
      </w:r>
    </w:p>
    <w:p w14:paraId="4A0A2633" w14:textId="77777777" w:rsidR="00774F2C" w:rsidRPr="00444A4C" w:rsidRDefault="00774F2C" w:rsidP="0033688B">
      <w:pPr>
        <w:pStyle w:val="Bibliography"/>
      </w:pPr>
    </w:p>
    <w:sectPr w:rsidR="00774F2C" w:rsidRPr="00444A4C" w:rsidSect="00574D1A">
      <w:headerReference w:type="default" r:id="rId23"/>
      <w:footerReference w:type="even" r:id="rId24"/>
      <w:footerReference w:type="default" r:id="rId25"/>
      <w:endnotePr>
        <w:numFmt w:val="decimal"/>
      </w:endnotePr>
      <w:pgSz w:w="11909" w:h="16834"/>
      <w:pgMar w:top="1440" w:right="1440" w:bottom="1440" w:left="2520" w:header="720" w:footer="720" w:gutter="0"/>
      <w:pgNumType w:start="7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B942A" w14:textId="77777777" w:rsidR="008819B3" w:rsidRDefault="008819B3" w:rsidP="00AE34CE">
      <w:pPr>
        <w:spacing w:line="240" w:lineRule="auto"/>
      </w:pPr>
      <w:r>
        <w:separator/>
      </w:r>
    </w:p>
  </w:endnote>
  <w:endnote w:type="continuationSeparator" w:id="0">
    <w:p w14:paraId="2AD290EA" w14:textId="77777777" w:rsidR="008819B3" w:rsidRDefault="008819B3" w:rsidP="00AE3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1909" w14:textId="77777777" w:rsidR="0083044B" w:rsidRDefault="0083044B">
    <w:pPr>
      <w:pStyle w:val="Footer"/>
      <w:jc w:val="center"/>
    </w:pPr>
  </w:p>
  <w:p w14:paraId="2332488F" w14:textId="77777777" w:rsidR="0083044B" w:rsidRDefault="00830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C780" w14:textId="3BC80B84" w:rsidR="00130C98" w:rsidRPr="00130C98" w:rsidRDefault="00130C98" w:rsidP="00130C98">
    <w:pPr>
      <w:pStyle w:val="Footer"/>
      <w:jc w:val="center"/>
      <w:rPr>
        <w:sz w:val="20"/>
        <w:szCs w:val="20"/>
        <w:lang w:val="en-US"/>
      </w:rPr>
    </w:pPr>
    <w:r w:rsidRPr="00130C98">
      <w:rPr>
        <w:sz w:val="20"/>
        <w:szCs w:val="20"/>
        <w:lang w:val="en-US"/>
      </w:rPr>
      <w:t>Francis Owakah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74950" w14:textId="77777777" w:rsidR="008819B3" w:rsidRDefault="008819B3" w:rsidP="00AE34CE">
      <w:pPr>
        <w:spacing w:line="240" w:lineRule="auto"/>
      </w:pPr>
      <w:r>
        <w:separator/>
      </w:r>
    </w:p>
  </w:footnote>
  <w:footnote w:type="continuationSeparator" w:id="0">
    <w:p w14:paraId="072B4594" w14:textId="77777777" w:rsidR="008819B3" w:rsidRDefault="008819B3" w:rsidP="00AE34CE">
      <w:pPr>
        <w:spacing w:line="240" w:lineRule="auto"/>
      </w:pPr>
      <w:r>
        <w:continuationSeparator/>
      </w:r>
    </w:p>
  </w:footnote>
  <w:footnote w:id="1">
    <w:p w14:paraId="7EE42AA8" w14:textId="77777777" w:rsidR="0083044B" w:rsidRPr="00D50C93" w:rsidRDefault="0083044B" w:rsidP="00514E04">
      <w:pPr>
        <w:spacing w:line="240" w:lineRule="auto"/>
      </w:pPr>
      <w:r w:rsidRPr="002F2000">
        <w:rPr>
          <w:rStyle w:val="FootnoteReference"/>
          <w:rFonts w:ascii="Times New Roman" w:hAnsi="Times New Roman" w:cs="Times New Roman"/>
          <w:sz w:val="20"/>
        </w:rPr>
        <w:footnoteRef/>
      </w:r>
      <w:r w:rsidRPr="00EA737A">
        <w:rPr>
          <w:rFonts w:cs="Times New Roman"/>
          <w:sz w:val="20"/>
          <w:szCs w:val="20"/>
        </w:rPr>
        <w:t xml:space="preserve">Leneck CM. </w:t>
      </w:r>
      <w:r>
        <w:rPr>
          <w:rFonts w:cs="Times New Roman"/>
          <w:sz w:val="20"/>
          <w:szCs w:val="20"/>
        </w:rPr>
        <w:t xml:space="preserve">1994. </w:t>
      </w:r>
      <w:r w:rsidRPr="00EA737A">
        <w:rPr>
          <w:rFonts w:cs="Times New Roman"/>
          <w:sz w:val="20"/>
          <w:szCs w:val="20"/>
        </w:rPr>
        <w:t xml:space="preserve">Definition of </w:t>
      </w:r>
      <w:r>
        <w:rPr>
          <w:rFonts w:cs="Times New Roman"/>
          <w:sz w:val="20"/>
          <w:szCs w:val="20"/>
        </w:rPr>
        <w:t>G</w:t>
      </w:r>
      <w:r w:rsidRPr="00EA737A">
        <w:rPr>
          <w:rFonts w:cs="Times New Roman"/>
          <w:sz w:val="20"/>
          <w:szCs w:val="20"/>
        </w:rPr>
        <w:t xml:space="preserve">ender. </w:t>
      </w:r>
      <w:r>
        <w:rPr>
          <w:rFonts w:cs="Times New Roman"/>
          <w:sz w:val="20"/>
          <w:szCs w:val="20"/>
        </w:rPr>
        <w:t xml:space="preserve">In </w:t>
      </w:r>
      <w:r w:rsidRPr="00DC2970">
        <w:rPr>
          <w:i/>
        </w:rPr>
        <w:t>Canadian Medical Association Journal</w:t>
      </w:r>
      <w:r>
        <w:rPr>
          <w:i/>
        </w:rPr>
        <w:t>,</w:t>
      </w:r>
      <w:r w:rsidRPr="00EA737A">
        <w:rPr>
          <w:rFonts w:cs="Times New Roman"/>
          <w:sz w:val="20"/>
          <w:szCs w:val="20"/>
        </w:rPr>
        <w:t xml:space="preserve"> Jan 15; 150(2)</w:t>
      </w:r>
      <w:r>
        <w:rPr>
          <w:rFonts w:cs="Times New Roman"/>
          <w:sz w:val="20"/>
          <w:szCs w:val="20"/>
        </w:rPr>
        <w:t xml:space="preserve">, p. </w:t>
      </w:r>
      <w:r w:rsidRPr="00EA737A">
        <w:rPr>
          <w:rFonts w:cs="Times New Roman"/>
          <w:sz w:val="20"/>
          <w:szCs w:val="20"/>
        </w:rPr>
        <w:t xml:space="preserve">130. </w:t>
      </w:r>
    </w:p>
  </w:footnote>
  <w:footnote w:id="2">
    <w:p w14:paraId="124560ED" w14:textId="77777777" w:rsidR="0083044B" w:rsidRPr="00D50C93" w:rsidRDefault="0083044B" w:rsidP="00514E04">
      <w:pPr>
        <w:pStyle w:val="FootnoteText"/>
        <w:spacing w:before="0"/>
      </w:pPr>
      <w:r w:rsidRPr="00DC2970">
        <w:rPr>
          <w:rStyle w:val="FootnoteReference"/>
          <w:rFonts w:ascii="Times New Roman" w:hAnsi="Times New Roman" w:cs="Times New Roman"/>
          <w:sz w:val="20"/>
          <w:lang w:val="en-GB"/>
        </w:rPr>
        <w:footnoteRef/>
      </w:r>
      <w:r>
        <w:t>Ibid</w:t>
      </w:r>
      <w:r w:rsidRPr="00D50C93">
        <w:t xml:space="preserve"> June 15,  1997, p. 156 </w:t>
      </w:r>
    </w:p>
  </w:footnote>
  <w:footnote w:id="3">
    <w:p w14:paraId="0AA41B2C" w14:textId="77777777" w:rsidR="0083044B" w:rsidRPr="00CB3E47" w:rsidRDefault="0083044B" w:rsidP="002F2000">
      <w:pPr>
        <w:pStyle w:val="FootnoteText"/>
        <w:spacing w:before="0"/>
        <w:rPr>
          <w:i/>
        </w:rPr>
      </w:pPr>
      <w:r w:rsidRPr="00DC2970">
        <w:rPr>
          <w:rStyle w:val="FootnoteReference"/>
          <w:rFonts w:ascii="Times New Roman" w:hAnsi="Times New Roman" w:cs="Times New Roman"/>
          <w:sz w:val="20"/>
          <w:lang w:val="en-GB"/>
        </w:rPr>
        <w:footnoteRef/>
      </w:r>
      <w:r>
        <w:t xml:space="preserve">Angelica-Nicoleta Neculaesei, 2015. ‘Culture and Gender Role Differences.’ In </w:t>
      </w:r>
      <w:r w:rsidRPr="00CB3E47">
        <w:rPr>
          <w:i/>
        </w:rPr>
        <w:t xml:space="preserve">Cross </w:t>
      </w:r>
      <w:r>
        <w:rPr>
          <w:i/>
        </w:rPr>
        <w:t>C</w:t>
      </w:r>
      <w:r w:rsidRPr="00CB3E47">
        <w:rPr>
          <w:i/>
        </w:rPr>
        <w:t>ultural</w:t>
      </w:r>
    </w:p>
    <w:p w14:paraId="54B32DDE" w14:textId="77777777" w:rsidR="0083044B" w:rsidRPr="00D50C93" w:rsidRDefault="0083044B" w:rsidP="002F2000">
      <w:pPr>
        <w:pStyle w:val="FootnoteText"/>
        <w:spacing w:before="0"/>
      </w:pPr>
      <w:r w:rsidRPr="00CB3E47">
        <w:rPr>
          <w:i/>
        </w:rPr>
        <w:t>Management Journal</w:t>
      </w:r>
      <w:r>
        <w:t>, Vol. XVII, No. 1: 31-35.</w:t>
      </w:r>
    </w:p>
  </w:footnote>
  <w:footnote w:id="4">
    <w:p w14:paraId="78F3710A" w14:textId="77777777" w:rsidR="0083044B" w:rsidRDefault="0083044B" w:rsidP="00D50C93">
      <w:pPr>
        <w:pStyle w:val="FootnoteText"/>
        <w:spacing w:before="0"/>
        <w:rPr>
          <w:rStyle w:val="FootnoteTextChar"/>
        </w:rPr>
      </w:pPr>
      <w:r w:rsidRPr="00D50C93">
        <w:rPr>
          <w:rStyle w:val="FootnoteReference"/>
          <w:rFonts w:ascii="Times New Roman" w:hAnsi="Times New Roman" w:cs="Times New Roman"/>
          <w:sz w:val="20"/>
        </w:rPr>
        <w:footnoteRef/>
      </w:r>
      <w:r w:rsidRPr="00D50C93">
        <w:rPr>
          <w:rStyle w:val="FootnoteTextChar"/>
        </w:rPr>
        <w:t>Weidler E</w:t>
      </w:r>
      <w:r>
        <w:rPr>
          <w:rStyle w:val="FootnoteTextChar"/>
        </w:rPr>
        <w:t xml:space="preserve">rica </w:t>
      </w:r>
      <w:r w:rsidRPr="00D50C93">
        <w:rPr>
          <w:rStyle w:val="FootnoteTextChar"/>
        </w:rPr>
        <w:t xml:space="preserve">.M, </w:t>
      </w:r>
      <w:r>
        <w:rPr>
          <w:rStyle w:val="FootnoteTextChar"/>
        </w:rPr>
        <w:t xml:space="preserve">&amp; Karen E </w:t>
      </w:r>
      <w:r w:rsidRPr="00D50C93">
        <w:rPr>
          <w:rStyle w:val="FootnoteTextChar"/>
        </w:rPr>
        <w:t>Peterson</w:t>
      </w:r>
      <w:r>
        <w:rPr>
          <w:rStyle w:val="FootnoteTextChar"/>
        </w:rPr>
        <w:t>, 2019</w:t>
      </w:r>
      <w:r w:rsidRPr="00D50C93">
        <w:rPr>
          <w:rStyle w:val="FootnoteTextChar"/>
        </w:rPr>
        <w:t xml:space="preserve">. </w:t>
      </w:r>
      <w:r>
        <w:rPr>
          <w:rStyle w:val="FootnoteTextChar"/>
        </w:rPr>
        <w:t>‘</w:t>
      </w:r>
      <w:r w:rsidRPr="00D50C93">
        <w:rPr>
          <w:rStyle w:val="FootnoteTextChar"/>
        </w:rPr>
        <w:t>The Impact of Culture on Disclosure in Differences</w:t>
      </w:r>
    </w:p>
    <w:p w14:paraId="2E449335" w14:textId="77777777" w:rsidR="0083044B" w:rsidRPr="00D50C93" w:rsidRDefault="0083044B" w:rsidP="00D50C93">
      <w:pPr>
        <w:pStyle w:val="FootnoteText"/>
        <w:spacing w:before="0"/>
        <w:rPr>
          <w:rStyle w:val="FootnoteTextChar"/>
        </w:rPr>
      </w:pPr>
      <w:r w:rsidRPr="00D50C93">
        <w:rPr>
          <w:rStyle w:val="FootnoteTextChar"/>
        </w:rPr>
        <w:t>of Sex</w:t>
      </w:r>
      <w:r>
        <w:rPr>
          <w:rStyle w:val="FootnoteTextChar"/>
        </w:rPr>
        <w:t xml:space="preserve"> </w:t>
      </w:r>
      <w:r w:rsidRPr="00D50C93">
        <w:rPr>
          <w:rStyle w:val="FootnoteTextChar"/>
        </w:rPr>
        <w:t>Development</w:t>
      </w:r>
      <w:r>
        <w:rPr>
          <w:rStyle w:val="FootnoteTextChar"/>
        </w:rPr>
        <w:t xml:space="preserve">.’In </w:t>
      </w:r>
      <w:r>
        <w:rPr>
          <w:rStyle w:val="Emphasis"/>
        </w:rPr>
        <w:t>Seminars in Pediatric Surgery,</w:t>
      </w:r>
      <w:r w:rsidRPr="00D50C93">
        <w:rPr>
          <w:rStyle w:val="FootnoteTextChar"/>
        </w:rPr>
        <w:t xml:space="preserve"> </w:t>
      </w:r>
      <w:r>
        <w:rPr>
          <w:rStyle w:val="FootnoteTextChar"/>
        </w:rPr>
        <w:t xml:space="preserve">Vol. 28 No. </w:t>
      </w:r>
      <w:r w:rsidRPr="00D50C93">
        <w:rPr>
          <w:rStyle w:val="FootnoteTextChar"/>
        </w:rPr>
        <w:t>5</w:t>
      </w:r>
      <w:r>
        <w:rPr>
          <w:rStyle w:val="FootnoteTextChar"/>
        </w:rPr>
        <w:t>.</w:t>
      </w:r>
    </w:p>
    <w:p w14:paraId="17D0146D" w14:textId="77777777" w:rsidR="0083044B" w:rsidRDefault="0083044B" w:rsidP="00442A68">
      <w:pPr>
        <w:pStyle w:val="FootnoteText"/>
        <w:spacing w:before="0"/>
      </w:pPr>
      <w:r w:rsidRPr="00D50C93">
        <w:rPr>
          <w:rStyle w:val="FootnoteTextChar"/>
        </w:rPr>
        <w:t>DOI: 10.1016/j.sempedsurg.2019.150840</w:t>
      </w:r>
      <w:r>
        <w:rPr>
          <w:rStyle w:val="FootnoteTextChar"/>
        </w:rPr>
        <w:t xml:space="preserve">; </w:t>
      </w:r>
      <w:r w:rsidRPr="00D50C93">
        <w:t xml:space="preserve">Kuhnle, Ursula &amp; Krahl, Wolfgang 2002. </w:t>
      </w:r>
      <w:r>
        <w:t>‘</w:t>
      </w:r>
      <w:r w:rsidRPr="00D50C93">
        <w:t>The Impact of</w:t>
      </w:r>
    </w:p>
    <w:p w14:paraId="24AC479B" w14:textId="77777777" w:rsidR="0083044B" w:rsidRPr="008660A3" w:rsidRDefault="0083044B" w:rsidP="00D50C93">
      <w:pPr>
        <w:pStyle w:val="FootnoteText"/>
        <w:spacing w:before="0"/>
      </w:pPr>
      <w:r w:rsidRPr="00D50C93">
        <w:t>Culture on Sex Assignment and Gender</w:t>
      </w:r>
      <w:r>
        <w:t xml:space="preserve"> </w:t>
      </w:r>
      <w:r w:rsidRPr="00D50C93">
        <w:t>Development in Intersex Patients.</w:t>
      </w:r>
      <w:r>
        <w:t>’</w:t>
      </w:r>
      <w:r w:rsidRPr="00D50C93">
        <w:t xml:space="preserve"> In </w:t>
      </w:r>
      <w:r w:rsidRPr="008660A3">
        <w:rPr>
          <w:i/>
        </w:rPr>
        <w:t xml:space="preserve">Perspectives </w:t>
      </w:r>
      <w:r w:rsidRPr="008660A3">
        <w:t>in</w:t>
      </w:r>
    </w:p>
    <w:p w14:paraId="0043CD05" w14:textId="77777777" w:rsidR="0083044B" w:rsidRPr="00D50C93" w:rsidRDefault="0083044B" w:rsidP="00D50C93">
      <w:pPr>
        <w:pStyle w:val="FootnoteText"/>
        <w:spacing w:before="0"/>
      </w:pPr>
      <w:r w:rsidRPr="008660A3">
        <w:rPr>
          <w:i/>
        </w:rPr>
        <w:t>Biology and Medicine,</w:t>
      </w:r>
      <w:r w:rsidRPr="00D50C93">
        <w:t xml:space="preserve"> Vol. 45, No. 1</w:t>
      </w:r>
      <w:r>
        <w:t>.</w:t>
      </w:r>
      <w:r w:rsidRPr="00D50C93">
        <w:t xml:space="preserve"> pp.</w:t>
      </w:r>
      <w:r>
        <w:t xml:space="preserve"> 85-103.</w:t>
      </w:r>
    </w:p>
    <w:p w14:paraId="441CE5C6" w14:textId="77777777" w:rsidR="0083044B" w:rsidRPr="00D50C93" w:rsidRDefault="0083044B" w:rsidP="00D50C93">
      <w:pPr>
        <w:pStyle w:val="FootnoteText"/>
        <w:spacing w:before="0"/>
        <w:rPr>
          <w:lang w:val="en-US"/>
        </w:rPr>
      </w:pPr>
      <w:r w:rsidRPr="00D50C93">
        <w:t>DOI:</w:t>
      </w:r>
      <w:hyperlink r:id="rId1" w:tgtFrame="_blank" w:history="1">
        <w:r w:rsidRPr="00D50C93">
          <w:rPr>
            <w:rStyle w:val="Hyperlink"/>
          </w:rPr>
          <w:t>10.1353/pbm.2002.0011</w:t>
        </w:r>
      </w:hyperlink>
    </w:p>
  </w:footnote>
  <w:footnote w:id="5">
    <w:p w14:paraId="23A7B62C" w14:textId="77777777" w:rsidR="0083044B" w:rsidRPr="00D50C93" w:rsidRDefault="0083044B" w:rsidP="00D50C93">
      <w:pPr>
        <w:pStyle w:val="FootnoteText"/>
        <w:spacing w:before="0"/>
        <w:rPr>
          <w:lang w:val="en-US"/>
        </w:rPr>
      </w:pPr>
      <w:r w:rsidRPr="00D50C93">
        <w:rPr>
          <w:rStyle w:val="FootnoteReference"/>
          <w:rFonts w:ascii="Times New Roman" w:hAnsi="Times New Roman" w:cs="Times New Roman"/>
          <w:sz w:val="20"/>
        </w:rPr>
        <w:footnoteRef/>
      </w:r>
      <w:r w:rsidRPr="00D50C93">
        <w:rPr>
          <w:lang w:val="en-US"/>
        </w:rPr>
        <w:t>Ibid</w:t>
      </w:r>
    </w:p>
  </w:footnote>
  <w:footnote w:id="6">
    <w:p w14:paraId="740484A8" w14:textId="77777777" w:rsidR="0083044B" w:rsidRPr="00C00B22" w:rsidRDefault="0083044B" w:rsidP="007B3BD8">
      <w:pPr>
        <w:pStyle w:val="FootnoteText"/>
        <w:spacing w:before="0"/>
        <w:rPr>
          <w:lang w:val="en-US"/>
        </w:rPr>
      </w:pPr>
      <w:r w:rsidRPr="00C00B22">
        <w:rPr>
          <w:rStyle w:val="FootnoteReference"/>
          <w:rFonts w:ascii="Times New Roman" w:hAnsi="Times New Roman" w:cs="Times New Roman"/>
          <w:sz w:val="20"/>
        </w:rPr>
        <w:footnoteRef/>
      </w:r>
      <w:r w:rsidRPr="00C00B22">
        <w:rPr>
          <w:lang w:val="en-US"/>
        </w:rPr>
        <w:t xml:space="preserve">See Little William, 12016.  </w:t>
      </w:r>
      <w:r w:rsidRPr="00C00B22">
        <w:rPr>
          <w:b/>
          <w:lang w:val="en-US"/>
        </w:rPr>
        <w:t>Introduction to Sociology</w:t>
      </w:r>
      <w:r w:rsidRPr="00C00B22">
        <w:rPr>
          <w:lang w:val="en-US"/>
        </w:rPr>
        <w:t xml:space="preserve">. 2nd Canadian Edition. Victoria: </w:t>
      </w:r>
    </w:p>
    <w:p w14:paraId="6C621697" w14:textId="77777777" w:rsidR="0083044B" w:rsidRPr="00C00B22" w:rsidRDefault="0083044B" w:rsidP="007B3BD8">
      <w:pPr>
        <w:pStyle w:val="FootnoteText"/>
        <w:spacing w:before="0"/>
        <w:rPr>
          <w:lang w:val="en-US"/>
        </w:rPr>
      </w:pPr>
      <w:r w:rsidRPr="00C00B22">
        <w:rPr>
          <w:lang w:val="en-US"/>
        </w:rPr>
        <w:t>BCcampus, pp. 296-297.</w:t>
      </w:r>
    </w:p>
  </w:footnote>
  <w:footnote w:id="7">
    <w:p w14:paraId="36AB5900" w14:textId="2AB2DE38" w:rsidR="0083044B" w:rsidRPr="00C00B22" w:rsidRDefault="0083044B" w:rsidP="00D47C78">
      <w:pPr>
        <w:pStyle w:val="FootnoteText"/>
        <w:spacing w:before="0"/>
        <w:ind w:left="0" w:firstLine="0"/>
        <w:rPr>
          <w:lang w:val="en-US"/>
        </w:rPr>
      </w:pPr>
      <w:r w:rsidRPr="00C00B22">
        <w:rPr>
          <w:rStyle w:val="FootnoteReference"/>
          <w:rFonts w:ascii="Times New Roman" w:hAnsi="Times New Roman" w:cs="Times New Roman"/>
          <w:sz w:val="20"/>
        </w:rPr>
        <w:footnoteRef/>
      </w:r>
      <w:r w:rsidRPr="00C00B22">
        <w:rPr>
          <w:rStyle w:val="hgkelc"/>
          <w:lang w:val="en"/>
        </w:rPr>
        <w:t>See General Assembly Resolution A/RES/53/144 adopting the Declaration on human rights defenders</w:t>
      </w:r>
    </w:p>
  </w:footnote>
  <w:footnote w:id="8">
    <w:p w14:paraId="146F444A" w14:textId="01790724" w:rsidR="0083044B" w:rsidRPr="00E1506A" w:rsidRDefault="0083044B" w:rsidP="00E1506A">
      <w:pPr>
        <w:pStyle w:val="FootnoteText"/>
        <w:spacing w:before="0"/>
        <w:rPr>
          <w:lang w:val="en-US"/>
        </w:rPr>
      </w:pPr>
      <w:r w:rsidRPr="00E1506A">
        <w:rPr>
          <w:rStyle w:val="FootnoteReference"/>
          <w:rFonts w:ascii="Times New Roman" w:hAnsi="Times New Roman" w:cs="Times New Roman"/>
          <w:sz w:val="20"/>
        </w:rPr>
        <w:footnoteRef/>
      </w:r>
      <w:r w:rsidRPr="00E1506A">
        <w:rPr>
          <w:lang w:val="en-US"/>
        </w:rPr>
        <w:t>See American Psychological Association. ‘Personality.’</w:t>
      </w:r>
    </w:p>
    <w:p w14:paraId="17112F38" w14:textId="5EFEF276" w:rsidR="0083044B" w:rsidRPr="00E1506A" w:rsidRDefault="0083044B" w:rsidP="00E1506A">
      <w:pPr>
        <w:pStyle w:val="FootnoteText"/>
        <w:spacing w:before="0"/>
        <w:rPr>
          <w:lang w:val="en-US"/>
        </w:rPr>
      </w:pPr>
      <w:r w:rsidRPr="00E1506A">
        <w:rPr>
          <w:lang w:val="en-US"/>
        </w:rPr>
        <w:t>https://www.apa.org/topics/personality</w:t>
      </w:r>
    </w:p>
  </w:footnote>
  <w:footnote w:id="9">
    <w:p w14:paraId="1B15A20D" w14:textId="5BB58D6A" w:rsidR="0083044B" w:rsidRPr="00E1506A" w:rsidRDefault="0083044B" w:rsidP="00E1506A">
      <w:pPr>
        <w:pStyle w:val="FootnoteText"/>
        <w:spacing w:before="0"/>
        <w:rPr>
          <w:lang w:val="en-US"/>
        </w:rPr>
      </w:pPr>
      <w:r w:rsidRPr="00E1506A">
        <w:rPr>
          <w:rStyle w:val="FootnoteReference"/>
          <w:rFonts w:ascii="Times New Roman" w:hAnsi="Times New Roman" w:cs="Times New Roman"/>
          <w:sz w:val="20"/>
        </w:rPr>
        <w:footnoteRef/>
      </w:r>
      <w:r w:rsidRPr="00E1506A">
        <w:rPr>
          <w:lang w:val="en-US"/>
        </w:rPr>
        <w:t xml:space="preserve">Ibid. </w:t>
      </w:r>
    </w:p>
  </w:footnote>
  <w:footnote w:id="10">
    <w:p w14:paraId="0A099EE9" w14:textId="77777777" w:rsidR="0083044B" w:rsidRDefault="0083044B" w:rsidP="00D50C93">
      <w:pPr>
        <w:pStyle w:val="FootnoteText"/>
        <w:spacing w:before="0"/>
      </w:pPr>
      <w:r w:rsidRPr="002F2000">
        <w:rPr>
          <w:rStyle w:val="FootnoteReference"/>
          <w:rFonts w:ascii="Times New Roman" w:hAnsi="Times New Roman" w:cs="Times New Roman"/>
          <w:sz w:val="20"/>
          <w:lang w:val="en-GB"/>
        </w:rPr>
        <w:footnoteRef/>
      </w:r>
      <w:r w:rsidRPr="002F2000">
        <w:rPr>
          <w:vertAlign w:val="superscript"/>
        </w:rPr>
        <w:t xml:space="preserve"> </w:t>
      </w:r>
      <w:r w:rsidRPr="00211019">
        <w:t xml:space="preserve">Turner, Ralph H. </w:t>
      </w:r>
      <w:r>
        <w:t xml:space="preserve">1988. </w:t>
      </w:r>
      <w:r w:rsidRPr="00211019">
        <w:t>‘Personality in Society: Social Psychology’s Contribution to Sociology.’</w:t>
      </w:r>
    </w:p>
    <w:p w14:paraId="2E221475" w14:textId="77777777" w:rsidR="0083044B" w:rsidRPr="00211019" w:rsidRDefault="0083044B" w:rsidP="00A24241">
      <w:pPr>
        <w:pStyle w:val="FootnoteText"/>
        <w:spacing w:before="0"/>
      </w:pPr>
      <w:r w:rsidRPr="00211019">
        <w:t xml:space="preserve">In </w:t>
      </w:r>
      <w:r w:rsidRPr="00756B30">
        <w:rPr>
          <w:i/>
        </w:rPr>
        <w:t>Social Psychology Quarterly</w:t>
      </w:r>
      <w:r w:rsidRPr="00211019">
        <w:t xml:space="preserve">, </w:t>
      </w:r>
      <w:r>
        <w:t>V</w:t>
      </w:r>
      <w:r w:rsidRPr="00211019">
        <w:t xml:space="preserve">ol. 51, No. 1, 1988, pp. 1–10. </w:t>
      </w:r>
    </w:p>
    <w:p w14:paraId="6C778EBD" w14:textId="77777777" w:rsidR="0083044B" w:rsidRPr="00211019" w:rsidRDefault="008819B3" w:rsidP="00E150E7">
      <w:pPr>
        <w:pStyle w:val="FootnoteText"/>
        <w:spacing w:before="0"/>
      </w:pPr>
      <w:hyperlink r:id="rId2" w:history="1">
        <w:r w:rsidR="0083044B" w:rsidRPr="00211019">
          <w:rPr>
            <w:rStyle w:val="Hyperlink"/>
            <w:color w:val="auto"/>
            <w:u w:val="none"/>
          </w:rPr>
          <w:t>https://doi.org/10.2307/2786979</w:t>
        </w:r>
      </w:hyperlink>
      <w:r w:rsidR="0083044B" w:rsidRPr="00211019">
        <w:t>. Accessed 5 Sep. 2022.</w:t>
      </w:r>
    </w:p>
  </w:footnote>
  <w:footnote w:id="11">
    <w:p w14:paraId="0EC164EA" w14:textId="0A48115D" w:rsidR="0083044B" w:rsidRPr="00C17D84" w:rsidRDefault="0083044B">
      <w:pPr>
        <w:pStyle w:val="FootnoteText"/>
        <w:rPr>
          <w:lang w:val="en-US"/>
        </w:rPr>
      </w:pPr>
      <w:r>
        <w:rPr>
          <w:rStyle w:val="FootnoteReference"/>
        </w:rPr>
        <w:footnoteRef/>
      </w:r>
      <w:r>
        <w:rPr>
          <w:lang w:val="en-US"/>
        </w:rPr>
        <w:t>Vide Supra….</w:t>
      </w:r>
    </w:p>
  </w:footnote>
  <w:footnote w:id="12">
    <w:p w14:paraId="41ABD861" w14:textId="77777777" w:rsidR="0083044B" w:rsidRPr="00211019" w:rsidRDefault="0083044B" w:rsidP="00E150E7">
      <w:pPr>
        <w:pStyle w:val="FootnoteText"/>
        <w:spacing w:before="0"/>
      </w:pPr>
      <w:r w:rsidRPr="002F2000">
        <w:rPr>
          <w:rStyle w:val="FootnoteReference"/>
          <w:rFonts w:ascii="Times New Roman" w:hAnsi="Times New Roman" w:cs="Times New Roman"/>
          <w:sz w:val="20"/>
          <w:lang w:val="en-GB"/>
        </w:rPr>
        <w:footnoteRef/>
      </w:r>
      <w:r w:rsidRPr="002F2000">
        <w:rPr>
          <w:vertAlign w:val="superscript"/>
        </w:rPr>
        <w:t xml:space="preserve"> </w:t>
      </w:r>
      <w:r w:rsidRPr="00211019">
        <w:t>Kuhnle, Ursula &amp; Krahl, Wolfgang 2002</w:t>
      </w:r>
      <w:r>
        <w:t>.</w:t>
      </w:r>
      <w:r w:rsidRPr="00211019">
        <w:t xml:space="preserve"> Op Cit.</w:t>
      </w:r>
    </w:p>
  </w:footnote>
  <w:footnote w:id="13">
    <w:p w14:paraId="7898D47B" w14:textId="77777777" w:rsidR="0083044B" w:rsidRDefault="0083044B" w:rsidP="00D50C93">
      <w:pPr>
        <w:pStyle w:val="FootnoteText"/>
        <w:spacing w:before="0"/>
      </w:pPr>
      <w:r w:rsidRPr="002F2000">
        <w:rPr>
          <w:rStyle w:val="FootnoteReference"/>
          <w:rFonts w:ascii="Times New Roman" w:hAnsi="Times New Roman" w:cs="Times New Roman"/>
          <w:sz w:val="20"/>
          <w:lang w:val="en-GB"/>
        </w:rPr>
        <w:footnoteRef/>
      </w:r>
      <w:r w:rsidRPr="002F2000">
        <w:rPr>
          <w:vertAlign w:val="superscript"/>
        </w:rPr>
        <w:t xml:space="preserve"> </w:t>
      </w:r>
      <w:r>
        <w:t>C</w:t>
      </w:r>
      <w:r w:rsidRPr="00211019">
        <w:t>ultural liberalism is a theory which holds and that supports individuals to</w:t>
      </w:r>
      <w:r>
        <w:t xml:space="preserve"> </w:t>
      </w:r>
      <w:r w:rsidRPr="00211019">
        <w:t>choose whether to</w:t>
      </w:r>
    </w:p>
    <w:p w14:paraId="1A1C6B52" w14:textId="77777777" w:rsidR="0083044B" w:rsidRDefault="0083044B" w:rsidP="00D50C93">
      <w:pPr>
        <w:pStyle w:val="FootnoteText"/>
        <w:spacing w:before="0"/>
      </w:pPr>
      <w:r w:rsidRPr="00211019">
        <w:t xml:space="preserve">conform to cultural norms or not. The case of S. M Otieno </w:t>
      </w:r>
      <w:r>
        <w:t xml:space="preserve">provide </w:t>
      </w:r>
      <w:r w:rsidRPr="00211019">
        <w:t>a case example.</w:t>
      </w:r>
    </w:p>
    <w:p w14:paraId="4F4DED59" w14:textId="77777777" w:rsidR="0083044B" w:rsidRDefault="0083044B" w:rsidP="00D50C93">
      <w:pPr>
        <w:pStyle w:val="FootnoteText"/>
        <w:spacing w:before="0"/>
        <w:rPr>
          <w:b/>
        </w:rPr>
      </w:pPr>
      <w:r w:rsidRPr="00211019">
        <w:t>See</w:t>
      </w:r>
      <w:r>
        <w:t xml:space="preserve"> </w:t>
      </w:r>
      <w:r w:rsidRPr="00211019">
        <w:t>J.B. Ojw</w:t>
      </w:r>
      <w:r>
        <w:t>ang</w:t>
      </w:r>
      <w:r w:rsidRPr="00211019">
        <w:t xml:space="preserve"> &amp; J.N.K. Mugambi, eds. 1989. </w:t>
      </w:r>
      <w:r w:rsidRPr="00756B30">
        <w:rPr>
          <w:b/>
        </w:rPr>
        <w:t>The S. M Otieno Case: Death and Burial in</w:t>
      </w:r>
    </w:p>
    <w:p w14:paraId="7B9750E3" w14:textId="77777777" w:rsidR="0083044B" w:rsidRDefault="0083044B" w:rsidP="00D50C93">
      <w:pPr>
        <w:pStyle w:val="FootnoteText"/>
        <w:spacing w:before="0"/>
      </w:pPr>
      <w:r w:rsidRPr="00756B30">
        <w:rPr>
          <w:b/>
        </w:rPr>
        <w:t>Modern</w:t>
      </w:r>
      <w:r>
        <w:rPr>
          <w:b/>
        </w:rPr>
        <w:t xml:space="preserve"> </w:t>
      </w:r>
      <w:r w:rsidRPr="00756B30">
        <w:rPr>
          <w:b/>
        </w:rPr>
        <w:t>Kenya.</w:t>
      </w:r>
      <w:r w:rsidRPr="00211019">
        <w:t xml:space="preserve"> Nairobi: Nairobi University Press, pp. 79-88; 101-115; 127-132; 165-179; David</w:t>
      </w:r>
    </w:p>
    <w:p w14:paraId="77070155" w14:textId="77777777" w:rsidR="0083044B" w:rsidRPr="00756B30" w:rsidRDefault="0083044B" w:rsidP="00A24241">
      <w:pPr>
        <w:pStyle w:val="FootnoteText"/>
        <w:spacing w:before="0"/>
        <w:rPr>
          <w:rStyle w:val="p13n-desktop-sims-fbtfbt-desktoptitle-truncate1ppam"/>
          <w:b/>
        </w:rPr>
      </w:pPr>
      <w:r w:rsidRPr="00211019">
        <w:t>William Cohen &amp; E.S. Atieno Odhiambo</w:t>
      </w:r>
      <w:r>
        <w:t xml:space="preserve">, </w:t>
      </w:r>
      <w:r w:rsidRPr="00211019">
        <w:t>1992</w:t>
      </w:r>
      <w:r>
        <w:t xml:space="preserve">. </w:t>
      </w:r>
      <w:r w:rsidRPr="00211019">
        <w:t xml:space="preserve"> </w:t>
      </w:r>
      <w:r w:rsidRPr="00756B30">
        <w:rPr>
          <w:rStyle w:val="p13n-desktop-sims-fbtfbt-desktoptitle-truncate1ppam"/>
          <w:b/>
        </w:rPr>
        <w:t>Burying SM: The Politics of Knowledge and the</w:t>
      </w:r>
    </w:p>
    <w:p w14:paraId="62CB173B" w14:textId="77777777" w:rsidR="0083044B" w:rsidRDefault="0083044B" w:rsidP="00E150E7">
      <w:pPr>
        <w:pStyle w:val="FootnoteText"/>
        <w:spacing w:before="0"/>
      </w:pPr>
      <w:r w:rsidRPr="00756B30">
        <w:rPr>
          <w:rStyle w:val="p13n-desktop-sims-fbtfbt-desktoptitle-truncate1ppam"/>
          <w:b/>
        </w:rPr>
        <w:t>Sociology of Power in Africa</w:t>
      </w:r>
      <w:r>
        <w:rPr>
          <w:rStyle w:val="p13n-desktop-sims-fbtfbt-desktoptitle-truncate1ppam"/>
        </w:rPr>
        <w:t xml:space="preserve">. Nairobi: East African Educational Publishers; </w:t>
      </w:r>
      <w:r>
        <w:t>T</w:t>
      </w:r>
      <w:r w:rsidRPr="00211019">
        <w:t>horeau,H. D.,</w:t>
      </w:r>
    </w:p>
    <w:p w14:paraId="24472E4B" w14:textId="77777777" w:rsidR="0083044B" w:rsidRDefault="0083044B" w:rsidP="00E150E7">
      <w:pPr>
        <w:pStyle w:val="FootnoteText"/>
        <w:spacing w:before="0"/>
      </w:pPr>
      <w:r w:rsidRPr="00211019">
        <w:t xml:space="preserve">1854. </w:t>
      </w:r>
      <w:r w:rsidRPr="00756B30">
        <w:rPr>
          <w:b/>
        </w:rPr>
        <w:t>Walden; or, Life in the Woods</w:t>
      </w:r>
      <w:r w:rsidRPr="00211019">
        <w:t>. Boston,</w:t>
      </w:r>
      <w:r>
        <w:t xml:space="preserve"> </w:t>
      </w:r>
      <w:r w:rsidRPr="00211019">
        <w:t>MA: Ticknor and Fields</w:t>
      </w:r>
      <w:r>
        <w:t>;</w:t>
      </w:r>
      <w:r w:rsidRPr="00211019">
        <w:t xml:space="preserve"> Carens, Joseph</w:t>
      </w:r>
    </w:p>
    <w:p w14:paraId="59C7B063" w14:textId="77777777" w:rsidR="0083044B" w:rsidRDefault="0083044B" w:rsidP="00E150E7">
      <w:pPr>
        <w:pStyle w:val="FootnoteText"/>
        <w:spacing w:before="0"/>
        <w:rPr>
          <w:b/>
        </w:rPr>
      </w:pPr>
      <w:r w:rsidRPr="00211019">
        <w:t xml:space="preserve">H., </w:t>
      </w:r>
      <w:r>
        <w:t xml:space="preserve">2000. </w:t>
      </w:r>
      <w:r w:rsidRPr="00756B30">
        <w:rPr>
          <w:b/>
        </w:rPr>
        <w:t>Liberalism and Culture', Culture, Citizenship, and Community: A Contextual</w:t>
      </w:r>
    </w:p>
    <w:p w14:paraId="5CC6A832" w14:textId="77777777" w:rsidR="0083044B" w:rsidRDefault="0083044B" w:rsidP="00E150E7">
      <w:pPr>
        <w:pStyle w:val="FootnoteText"/>
        <w:spacing w:before="0"/>
      </w:pPr>
      <w:r w:rsidRPr="00756B30">
        <w:rPr>
          <w:b/>
        </w:rPr>
        <w:t>Exploration of</w:t>
      </w:r>
      <w:r>
        <w:rPr>
          <w:b/>
        </w:rPr>
        <w:t xml:space="preserve"> </w:t>
      </w:r>
      <w:r w:rsidRPr="00756B30">
        <w:rPr>
          <w:b/>
        </w:rPr>
        <w:t>Justice as Evenhandedness</w:t>
      </w:r>
      <w:r>
        <w:rPr>
          <w:b/>
        </w:rPr>
        <w:t>.</w:t>
      </w:r>
      <w:r>
        <w:t xml:space="preserve"> N.P: Oxford University Press</w:t>
      </w:r>
    </w:p>
    <w:p w14:paraId="4C2F6506" w14:textId="77777777" w:rsidR="0083044B" w:rsidRPr="00211019" w:rsidRDefault="008819B3" w:rsidP="00E150E7">
      <w:pPr>
        <w:pStyle w:val="FootnoteText"/>
        <w:spacing w:before="0"/>
      </w:pPr>
      <w:hyperlink r:id="rId3" w:history="1">
        <w:r w:rsidR="0083044B" w:rsidRPr="00211019">
          <w:t>https://doi.org/10.1093/0198297688.003.0003</w:t>
        </w:r>
      </w:hyperlink>
      <w:r w:rsidR="0083044B" w:rsidRPr="00211019">
        <w:t>, Accessed 30 Aug. 2022.</w:t>
      </w:r>
    </w:p>
  </w:footnote>
  <w:footnote w:id="14">
    <w:p w14:paraId="51436F5F" w14:textId="77777777" w:rsidR="0083044B" w:rsidRPr="005033C2" w:rsidRDefault="0083044B" w:rsidP="000532FB">
      <w:pPr>
        <w:pStyle w:val="FootnoteText"/>
        <w:spacing w:before="0"/>
        <w:rPr>
          <w:i/>
        </w:rPr>
      </w:pPr>
      <w:r w:rsidRPr="002F2000">
        <w:rPr>
          <w:rStyle w:val="FootnoteReference"/>
          <w:rFonts w:ascii="Times New Roman" w:hAnsi="Times New Roman" w:cstheme="minorBidi"/>
          <w:sz w:val="20"/>
          <w:lang w:val="en-GB"/>
        </w:rPr>
        <w:footnoteRef/>
      </w:r>
      <w:r w:rsidRPr="0031387F">
        <w:t>See Jason Rafferty</w:t>
      </w:r>
      <w:r>
        <w:t>, 2018. ‘</w:t>
      </w:r>
      <w:r w:rsidRPr="0031387F">
        <w:t>Gender Identity Development in Children</w:t>
      </w:r>
      <w:r>
        <w:t xml:space="preserve">.’ In </w:t>
      </w:r>
      <w:r w:rsidRPr="005033C2">
        <w:rPr>
          <w:i/>
        </w:rPr>
        <w:t>American Academy of</w:t>
      </w:r>
    </w:p>
    <w:p w14:paraId="23146156" w14:textId="77777777" w:rsidR="0083044B" w:rsidRPr="00203603" w:rsidRDefault="0083044B" w:rsidP="000532FB">
      <w:pPr>
        <w:pStyle w:val="FootnoteText"/>
        <w:spacing w:before="0"/>
        <w:ind w:left="0" w:firstLine="0"/>
      </w:pPr>
      <w:r w:rsidRPr="005033C2">
        <w:rPr>
          <w:i/>
        </w:rPr>
        <w:t>Paediatrics</w:t>
      </w:r>
      <w:r>
        <w:rPr>
          <w:i/>
        </w:rPr>
        <w:t xml:space="preserve">. </w:t>
      </w:r>
      <w:r w:rsidRPr="005033C2">
        <w:t>https://bit.ly/3RgKr5s</w:t>
      </w:r>
      <w:hyperlink w:history="1"/>
    </w:p>
  </w:footnote>
  <w:footnote w:id="15">
    <w:p w14:paraId="5FE6E134" w14:textId="77777777" w:rsidR="0083044B" w:rsidRDefault="0083044B" w:rsidP="000532FB">
      <w:pPr>
        <w:pStyle w:val="FootnoteText"/>
        <w:spacing w:before="0"/>
        <w:ind w:left="0" w:firstLine="0"/>
        <w:rPr>
          <w:rStyle w:val="hgkelc"/>
          <w:bCs/>
          <w:sz w:val="24"/>
          <w:szCs w:val="22"/>
        </w:rPr>
      </w:pPr>
      <w:r>
        <w:rPr>
          <w:rStyle w:val="FootnoteReference"/>
        </w:rPr>
        <w:footnoteRef/>
      </w:r>
      <w:r w:rsidRPr="00C74049">
        <w:rPr>
          <w:rStyle w:val="hgkelc"/>
        </w:rPr>
        <w:t xml:space="preserve">Gender dysphoria is a term that describes </w:t>
      </w:r>
      <w:r w:rsidRPr="00C74049">
        <w:rPr>
          <w:rStyle w:val="hgkelc"/>
          <w:bCs/>
        </w:rPr>
        <w:t>a sense of unease that a person may have because of a</w:t>
      </w:r>
    </w:p>
    <w:p w14:paraId="242A14AA" w14:textId="49D21410" w:rsidR="0083044B" w:rsidRDefault="0083044B" w:rsidP="00C17D84">
      <w:pPr>
        <w:pStyle w:val="FootnoteText"/>
        <w:spacing w:before="0"/>
        <w:ind w:left="0" w:firstLine="0"/>
        <w:rPr>
          <w:rStyle w:val="hgkelc"/>
        </w:rPr>
      </w:pPr>
      <w:r w:rsidRPr="00C74049">
        <w:rPr>
          <w:rStyle w:val="hgkelc"/>
          <w:bCs/>
        </w:rPr>
        <w:t>mismatch between their biological sex and their gender identity</w:t>
      </w:r>
      <w:r w:rsidRPr="00C74049">
        <w:rPr>
          <w:rStyle w:val="hgkelc"/>
        </w:rPr>
        <w:t>. This sense of unease or</w:t>
      </w:r>
      <w:r>
        <w:rPr>
          <w:rStyle w:val="hgkelc"/>
        </w:rPr>
        <w:t xml:space="preserve"> </w:t>
      </w:r>
      <w:r w:rsidRPr="00C74049">
        <w:rPr>
          <w:rStyle w:val="hgkelc"/>
        </w:rPr>
        <w:t>dissatisfaction may be so intense it can lead to depression and anxiety and have a harmful impact</w:t>
      </w:r>
    </w:p>
    <w:p w14:paraId="7D6782B0" w14:textId="77777777" w:rsidR="0083044B" w:rsidRPr="005A4CCD" w:rsidRDefault="0083044B" w:rsidP="000532FB">
      <w:pPr>
        <w:pStyle w:val="FootnoteText"/>
        <w:spacing w:before="0"/>
      </w:pPr>
      <w:r w:rsidRPr="00C74049">
        <w:rPr>
          <w:rStyle w:val="hgkelc"/>
        </w:rPr>
        <w:t>on daily life</w:t>
      </w:r>
    </w:p>
  </w:footnote>
  <w:footnote w:id="16">
    <w:p w14:paraId="070D9E57" w14:textId="77777777" w:rsidR="0083044B" w:rsidRPr="00F2192D" w:rsidRDefault="0083044B" w:rsidP="000532FB">
      <w:pPr>
        <w:pStyle w:val="FootnoteText"/>
        <w:spacing w:before="0"/>
        <w:rPr>
          <w:lang w:val="en-US"/>
        </w:rPr>
      </w:pPr>
      <w:r>
        <w:rPr>
          <w:rStyle w:val="FootnoteReference"/>
        </w:rPr>
        <w:footnoteRef/>
      </w:r>
      <w:r>
        <w:rPr>
          <w:lang w:val="en-US"/>
        </w:rPr>
        <w:t>Jason Rafferty, Op cit.</w:t>
      </w:r>
    </w:p>
  </w:footnote>
  <w:footnote w:id="17">
    <w:p w14:paraId="30802195" w14:textId="77777777" w:rsidR="0083044B" w:rsidRPr="000532FB" w:rsidRDefault="0083044B" w:rsidP="00C102AF">
      <w:pPr>
        <w:pStyle w:val="FootnoteText"/>
        <w:spacing w:before="0"/>
      </w:pPr>
      <w:r w:rsidRPr="000532FB">
        <w:rPr>
          <w:rStyle w:val="FootnoteReference"/>
          <w:rFonts w:ascii="Times New Roman" w:hAnsi="Times New Roman" w:cs="Times New Roman"/>
          <w:sz w:val="20"/>
        </w:rPr>
        <w:footnoteRef/>
      </w:r>
      <w:r w:rsidRPr="000532FB">
        <w:t xml:space="preserve"> Ibid.</w:t>
      </w:r>
    </w:p>
  </w:footnote>
  <w:footnote w:id="18">
    <w:p w14:paraId="3E9530E3" w14:textId="77777777" w:rsidR="0083044B" w:rsidRPr="000532FB" w:rsidRDefault="0083044B" w:rsidP="000532FB">
      <w:pPr>
        <w:spacing w:line="240" w:lineRule="auto"/>
        <w:rPr>
          <w:rFonts w:cs="Times New Roman"/>
          <w:sz w:val="20"/>
          <w:szCs w:val="20"/>
          <w:lang w:val="en-US"/>
        </w:rPr>
      </w:pPr>
      <w:r w:rsidRPr="000532FB">
        <w:rPr>
          <w:rStyle w:val="FootnoteReference"/>
          <w:rFonts w:ascii="Times New Roman" w:hAnsi="Times New Roman" w:cs="Times New Roman"/>
          <w:sz w:val="20"/>
          <w:szCs w:val="20"/>
        </w:rPr>
        <w:footnoteRef/>
      </w:r>
      <w:r w:rsidRPr="000532FB">
        <w:rPr>
          <w:rFonts w:cs="Times New Roman"/>
          <w:sz w:val="20"/>
          <w:szCs w:val="20"/>
        </w:rPr>
        <w:t xml:space="preserve"> </w:t>
      </w:r>
      <w:r w:rsidRPr="000532FB">
        <w:rPr>
          <w:rFonts w:cs="Times New Roman"/>
          <w:sz w:val="20"/>
          <w:szCs w:val="20"/>
          <w:lang w:val="en-US"/>
        </w:rPr>
        <w:t>See</w:t>
      </w:r>
      <w:r w:rsidRPr="000532FB">
        <w:rPr>
          <w:rFonts w:cs="Times New Roman"/>
          <w:sz w:val="20"/>
          <w:szCs w:val="20"/>
        </w:rPr>
        <w:t xml:space="preserve"> UN. </w:t>
      </w:r>
      <w:r w:rsidRPr="000532FB">
        <w:rPr>
          <w:rFonts w:cs="Times New Roman"/>
          <w:i/>
          <w:sz w:val="20"/>
          <w:szCs w:val="20"/>
        </w:rPr>
        <w:t>About LGBTI people and human rights: OHCHR and the human rights of LGBTI people</w:t>
      </w:r>
      <w:r w:rsidRPr="000532FB">
        <w:rPr>
          <w:rFonts w:cs="Times New Roman"/>
          <w:sz w:val="20"/>
          <w:szCs w:val="20"/>
        </w:rPr>
        <w:t xml:space="preserve">. </w:t>
      </w:r>
      <w:r w:rsidRPr="000532FB">
        <w:rPr>
          <w:rFonts w:cs="Times New Roman"/>
          <w:sz w:val="20"/>
          <w:szCs w:val="20"/>
          <w:lang w:val="en-US"/>
        </w:rPr>
        <w:t xml:space="preserve"> https://bit.ly/3q0VN1i</w:t>
      </w:r>
    </w:p>
  </w:footnote>
  <w:footnote w:id="19">
    <w:p w14:paraId="7C81538C" w14:textId="4232223A" w:rsidR="0083044B" w:rsidRDefault="0083044B" w:rsidP="000532FB">
      <w:pPr>
        <w:pStyle w:val="FootnoteText"/>
        <w:spacing w:before="0"/>
        <w:rPr>
          <w:b/>
          <w:lang w:val="en-US"/>
        </w:rPr>
      </w:pPr>
      <w:r w:rsidRPr="000532FB">
        <w:rPr>
          <w:rStyle w:val="FootnoteReference"/>
          <w:rFonts w:ascii="Times New Roman" w:hAnsi="Times New Roman" w:cs="Times New Roman"/>
          <w:sz w:val="20"/>
        </w:rPr>
        <w:footnoteRef/>
      </w:r>
      <w:r>
        <w:rPr>
          <w:lang w:val="en-US"/>
        </w:rPr>
        <w:t>GoK</w:t>
      </w:r>
      <w:r w:rsidR="00850F1B">
        <w:rPr>
          <w:lang w:val="en-US"/>
        </w:rPr>
        <w:t>, 2010</w:t>
      </w:r>
      <w:r>
        <w:rPr>
          <w:lang w:val="en-US"/>
        </w:rPr>
        <w:t xml:space="preserve">. </w:t>
      </w:r>
      <w:r w:rsidRPr="000532FB">
        <w:rPr>
          <w:b/>
          <w:lang w:val="en-US"/>
        </w:rPr>
        <w:t xml:space="preserve">Constitution of </w:t>
      </w:r>
      <w:r w:rsidR="00850F1B" w:rsidRPr="000532FB">
        <w:rPr>
          <w:b/>
          <w:lang w:val="en-US"/>
        </w:rPr>
        <w:t>Kenya</w:t>
      </w:r>
      <w:r w:rsidR="00850F1B">
        <w:rPr>
          <w:b/>
          <w:lang w:val="en-US"/>
        </w:rPr>
        <w:t xml:space="preserve">. </w:t>
      </w:r>
      <w:r w:rsidR="00850F1B" w:rsidRPr="000532FB">
        <w:rPr>
          <w:b/>
          <w:lang w:val="en-US"/>
        </w:rPr>
        <w:t xml:space="preserve"> </w:t>
      </w:r>
      <w:r w:rsidR="00850F1B" w:rsidRPr="00850F1B">
        <w:rPr>
          <w:lang w:val="en-US"/>
        </w:rPr>
        <w:t>Arts</w:t>
      </w:r>
      <w:r>
        <w:rPr>
          <w:lang w:val="en-US"/>
        </w:rPr>
        <w:t>.</w:t>
      </w:r>
      <w:r w:rsidRPr="000532FB">
        <w:rPr>
          <w:lang w:val="en-US"/>
        </w:rPr>
        <w:t xml:space="preserve"> 19(2); 20(1&amp;2); </w:t>
      </w:r>
      <w:r w:rsidRPr="000532FB">
        <w:rPr>
          <w:b/>
          <w:lang w:val="en-US"/>
        </w:rPr>
        <w:t>Universal Declaration of Human</w:t>
      </w:r>
    </w:p>
    <w:p w14:paraId="086F0EF5" w14:textId="77777777" w:rsidR="0083044B" w:rsidRDefault="0083044B" w:rsidP="00C102AF">
      <w:pPr>
        <w:pStyle w:val="FootnoteText"/>
        <w:spacing w:before="0"/>
      </w:pPr>
      <w:r w:rsidRPr="000532FB">
        <w:rPr>
          <w:b/>
          <w:lang w:val="en-US"/>
        </w:rPr>
        <w:t xml:space="preserve">Rights, 1948. </w:t>
      </w:r>
      <w:r w:rsidRPr="000532FB">
        <w:rPr>
          <w:lang w:val="en-US"/>
        </w:rPr>
        <w:t>Preamble, Arts 1 &amp;2;</w:t>
      </w:r>
      <w:r w:rsidRPr="00E21B0B">
        <w:rPr>
          <w:lang w:val="en-US"/>
        </w:rPr>
        <w:t xml:space="preserve"> </w:t>
      </w:r>
      <w:r w:rsidRPr="00E21B0B">
        <w:t xml:space="preserve">International Covenant on Civil and Political Rights, </w:t>
      </w:r>
      <w:r>
        <w:t>1966.</w:t>
      </w:r>
    </w:p>
    <w:p w14:paraId="6308A151" w14:textId="49CD0156" w:rsidR="0083044B" w:rsidRPr="009F427F" w:rsidRDefault="0083044B" w:rsidP="00513168">
      <w:pPr>
        <w:pStyle w:val="FootnoteText"/>
        <w:spacing w:before="0"/>
        <w:rPr>
          <w:lang w:val="en-US"/>
        </w:rPr>
      </w:pPr>
      <w:r w:rsidRPr="00E21B0B">
        <w:t>Preamble &amp; Art.</w:t>
      </w:r>
      <w:r>
        <w:t xml:space="preserve">1 </w:t>
      </w:r>
    </w:p>
  </w:footnote>
  <w:footnote w:id="20">
    <w:p w14:paraId="5D218235" w14:textId="59397DB7" w:rsidR="0083044B" w:rsidRPr="009156FF" w:rsidRDefault="0083044B" w:rsidP="00513168">
      <w:pPr>
        <w:pStyle w:val="FootnoteText"/>
        <w:spacing w:before="0"/>
        <w:rPr>
          <w:lang w:val="en-US"/>
        </w:rPr>
      </w:pPr>
      <w:r w:rsidRPr="009156FF">
        <w:rPr>
          <w:rStyle w:val="FootnoteReference"/>
          <w:rFonts w:ascii="Times New Roman" w:hAnsi="Times New Roman" w:cs="Times New Roman"/>
          <w:sz w:val="20"/>
        </w:rPr>
        <w:footnoteRef/>
      </w:r>
      <w:r w:rsidRPr="009156FF">
        <w:t xml:space="preserve"> GoK, 2010. </w:t>
      </w:r>
      <w:r w:rsidRPr="00513168">
        <w:rPr>
          <w:b/>
          <w:lang w:val="en-US"/>
        </w:rPr>
        <w:t>Constitution of Kenya</w:t>
      </w:r>
      <w:r w:rsidR="00850F1B">
        <w:rPr>
          <w:lang w:val="en-US"/>
        </w:rPr>
        <w:t>.</w:t>
      </w:r>
      <w:r>
        <w:rPr>
          <w:lang w:val="en-US"/>
        </w:rPr>
        <w:t xml:space="preserve"> A</w:t>
      </w:r>
      <w:r w:rsidRPr="009156FF">
        <w:rPr>
          <w:lang w:val="en-US"/>
        </w:rPr>
        <w:t>rts</w:t>
      </w:r>
      <w:r>
        <w:rPr>
          <w:lang w:val="en-US"/>
        </w:rPr>
        <w:t>.</w:t>
      </w:r>
      <w:r w:rsidRPr="009156FF">
        <w:rPr>
          <w:lang w:val="en-US"/>
        </w:rPr>
        <w:t xml:space="preserve"> 19-57.</w:t>
      </w:r>
    </w:p>
  </w:footnote>
  <w:footnote w:id="21">
    <w:p w14:paraId="22FEF46C" w14:textId="6D7F54C8" w:rsidR="0083044B" w:rsidRPr="009156FF" w:rsidRDefault="0083044B" w:rsidP="00F01930">
      <w:pPr>
        <w:pStyle w:val="FootnoteText"/>
        <w:spacing w:before="0"/>
        <w:ind w:left="0" w:firstLine="0"/>
        <w:rPr>
          <w:color w:val="606060"/>
        </w:rPr>
      </w:pPr>
      <w:r w:rsidRPr="009156FF">
        <w:rPr>
          <w:rStyle w:val="FootnoteReference"/>
          <w:rFonts w:ascii="Times New Roman" w:hAnsi="Times New Roman" w:cs="Times New Roman"/>
          <w:sz w:val="20"/>
        </w:rPr>
        <w:footnoteRef/>
      </w:r>
      <w:r w:rsidRPr="009156FF">
        <w:t xml:space="preserve">GoK. </w:t>
      </w:r>
      <w:r w:rsidRPr="009156FF">
        <w:rPr>
          <w:b/>
        </w:rPr>
        <w:t>Laws of Kenya</w:t>
      </w:r>
      <w:r w:rsidRPr="009156FF">
        <w:t xml:space="preserve">, Cap 63. </w:t>
      </w:r>
      <w:r w:rsidR="00850F1B" w:rsidRPr="009156FF">
        <w:t>Arts</w:t>
      </w:r>
      <w:r w:rsidR="00850F1B">
        <w:t>. 1</w:t>
      </w:r>
      <w:r w:rsidRPr="009156FF">
        <w:t>62, 163 &amp; 165; Ghai Jill Cottrell &amp;</w:t>
      </w:r>
      <w:r w:rsidR="00F01930">
        <w:t xml:space="preserve"> </w:t>
      </w:r>
      <w:r w:rsidRPr="009156FF">
        <w:t xml:space="preserve">Yash Pal Ghai, 2018. </w:t>
      </w:r>
      <w:r w:rsidRPr="009156FF">
        <w:rPr>
          <w:i/>
        </w:rPr>
        <w:t>Understanding the Equal Rights Case.</w:t>
      </w:r>
      <w:r w:rsidRPr="009156FF">
        <w:t xml:space="preserve"> </w:t>
      </w:r>
      <w:hyperlink r:id="rId4" w:history="1">
        <w:r w:rsidRPr="009156FF">
          <w:rPr>
            <w:rStyle w:val="Hyperlink"/>
            <w:rFonts w:eastAsiaTheme="majorEastAsia"/>
            <w:iCs/>
          </w:rPr>
          <w:t>https://www.galck.org/equal-rights</w:t>
        </w:r>
      </w:hyperlink>
      <w:r w:rsidR="00F01930">
        <w:rPr>
          <w:rStyle w:val="Hyperlink"/>
          <w:rFonts w:eastAsiaTheme="majorEastAsia"/>
          <w:iCs/>
        </w:rPr>
        <w:t>case/</w:t>
      </w:r>
    </w:p>
  </w:footnote>
  <w:footnote w:id="22">
    <w:p w14:paraId="29F3A954" w14:textId="31DF65C4" w:rsidR="0083044B" w:rsidRPr="009156FF" w:rsidRDefault="0083044B" w:rsidP="00EA137E">
      <w:pPr>
        <w:pStyle w:val="FootnoteText"/>
        <w:spacing w:before="0"/>
        <w:rPr>
          <w:lang w:val="en-US"/>
        </w:rPr>
      </w:pPr>
      <w:r w:rsidRPr="009156FF">
        <w:rPr>
          <w:rStyle w:val="FootnoteReference"/>
          <w:rFonts w:ascii="Times New Roman" w:hAnsi="Times New Roman" w:cs="Times New Roman"/>
          <w:sz w:val="20"/>
        </w:rPr>
        <w:footnoteRef/>
      </w:r>
      <w:r w:rsidR="00850F1B">
        <w:t xml:space="preserve">GoK, 2010. </w:t>
      </w:r>
      <w:r w:rsidR="00F01930" w:rsidRPr="00513168">
        <w:rPr>
          <w:b/>
          <w:lang w:val="en-US"/>
        </w:rPr>
        <w:t>Constitution of Kenya</w:t>
      </w:r>
      <w:r w:rsidR="00850F1B">
        <w:rPr>
          <w:lang w:val="en-US"/>
        </w:rPr>
        <w:t>. A</w:t>
      </w:r>
      <w:r w:rsidRPr="009156FF">
        <w:rPr>
          <w:lang w:val="en-US"/>
        </w:rPr>
        <w:t>rt. 27 (4)</w:t>
      </w:r>
    </w:p>
  </w:footnote>
  <w:footnote w:id="23">
    <w:p w14:paraId="03B3CA0B" w14:textId="77777777" w:rsidR="0083044B" w:rsidRPr="009156FF" w:rsidRDefault="0083044B" w:rsidP="00E85B70">
      <w:pPr>
        <w:pStyle w:val="FootnoteText"/>
        <w:spacing w:before="0"/>
      </w:pPr>
      <w:r w:rsidRPr="009156FF">
        <w:rPr>
          <w:rStyle w:val="FootnoteReference"/>
          <w:rFonts w:ascii="Times New Roman" w:hAnsi="Times New Roman" w:cs="Times New Roman"/>
          <w:sz w:val="20"/>
        </w:rPr>
        <w:footnoteRef/>
      </w:r>
      <w:r w:rsidRPr="009156FF">
        <w:t xml:space="preserve"> See the ruling in the case of Audrey Mbugua Ithibu vs KNEC dated 7</w:t>
      </w:r>
      <w:r w:rsidRPr="009156FF">
        <w:rPr>
          <w:vertAlign w:val="superscript"/>
        </w:rPr>
        <w:t xml:space="preserve">th </w:t>
      </w:r>
      <w:r w:rsidRPr="009156FF">
        <w:t>October, 2014 easily</w:t>
      </w:r>
    </w:p>
    <w:p w14:paraId="235AC943" w14:textId="77777777" w:rsidR="0083044B" w:rsidRPr="009156FF" w:rsidRDefault="0083044B" w:rsidP="009156FF">
      <w:pPr>
        <w:pStyle w:val="FootnoteText"/>
        <w:spacing w:before="0"/>
        <w:rPr>
          <w:lang w:val="en-US"/>
        </w:rPr>
      </w:pPr>
      <w:r w:rsidRPr="009156FF">
        <w:t>Provide a case example. JR Case No 147 of 2013. https://bit.ly/3RneKYd</w:t>
      </w:r>
    </w:p>
  </w:footnote>
  <w:footnote w:id="24">
    <w:p w14:paraId="6CE7CAD5" w14:textId="77777777" w:rsidR="0083044B" w:rsidRPr="009156FF" w:rsidRDefault="0083044B" w:rsidP="00086930">
      <w:pPr>
        <w:pStyle w:val="FootnoteText"/>
        <w:spacing w:before="0"/>
        <w:ind w:left="0" w:firstLine="0"/>
      </w:pPr>
      <w:r w:rsidRPr="009156FF">
        <w:rPr>
          <w:rStyle w:val="FootnoteReference"/>
          <w:rFonts w:ascii="Times New Roman" w:hAnsi="Times New Roman" w:cs="Times New Roman"/>
          <w:sz w:val="20"/>
        </w:rPr>
        <w:footnoteRef/>
      </w:r>
      <w:r w:rsidRPr="009156FF">
        <w:t>Sexual acts between women are not explicitly prohibited in Kenya but the gender-neutral term</w:t>
      </w:r>
    </w:p>
    <w:p w14:paraId="135D2FC3" w14:textId="77777777" w:rsidR="0083044B" w:rsidRPr="009156FF" w:rsidRDefault="0083044B" w:rsidP="00A36CE3">
      <w:pPr>
        <w:pStyle w:val="FootnoteText"/>
        <w:spacing w:before="0"/>
      </w:pPr>
      <w:r w:rsidRPr="009156FF">
        <w:t>‘person’ in Section 162 of the Penal Code seem to cover lesbian sexual activities making this an</w:t>
      </w:r>
    </w:p>
    <w:p w14:paraId="78FE1258" w14:textId="77777777" w:rsidR="0083044B" w:rsidRPr="009156FF" w:rsidRDefault="0083044B" w:rsidP="00A36CE3">
      <w:pPr>
        <w:pStyle w:val="FootnoteText"/>
        <w:spacing w:before="0"/>
        <w:rPr>
          <w:lang w:val="en-US"/>
        </w:rPr>
      </w:pPr>
      <w:r w:rsidRPr="009156FF">
        <w:t xml:space="preserve">offence under Kenya law. </w:t>
      </w:r>
    </w:p>
  </w:footnote>
  <w:footnote w:id="25">
    <w:p w14:paraId="4612B740" w14:textId="77777777" w:rsidR="0083044B" w:rsidRPr="008E4D64" w:rsidRDefault="0083044B" w:rsidP="008E4D64">
      <w:pPr>
        <w:pStyle w:val="FootnoteText"/>
        <w:spacing w:before="0"/>
        <w:rPr>
          <w:lang w:eastAsia="en-GB"/>
        </w:rPr>
      </w:pPr>
      <w:r w:rsidRPr="008E4D64">
        <w:rPr>
          <w:rStyle w:val="FootnoteReference"/>
          <w:rFonts w:ascii="Times New Roman" w:hAnsi="Times New Roman" w:cs="Times New Roman"/>
          <w:szCs w:val="24"/>
        </w:rPr>
        <w:footnoteRef/>
      </w:r>
      <w:r w:rsidRPr="008E4D64">
        <w:rPr>
          <w:lang w:eastAsia="en-GB"/>
        </w:rPr>
        <w:t xml:space="preserve">See Willy Mutunga, </w:t>
      </w:r>
      <w:r>
        <w:rPr>
          <w:lang w:eastAsia="en-GB"/>
        </w:rPr>
        <w:t>‘</w:t>
      </w:r>
      <w:r w:rsidRPr="008E4D64">
        <w:rPr>
          <w:lang w:eastAsia="en-GB"/>
        </w:rPr>
        <w:t>People Power in the 2010 Constitution: A Reality or an Illusion?</w:t>
      </w:r>
      <w:r>
        <w:rPr>
          <w:lang w:eastAsia="en-GB"/>
        </w:rPr>
        <w:t>’</w:t>
      </w:r>
    </w:p>
    <w:p w14:paraId="570CE0B3" w14:textId="77777777" w:rsidR="0083044B" w:rsidRPr="00280035" w:rsidRDefault="008819B3" w:rsidP="008E4D64">
      <w:pPr>
        <w:pStyle w:val="FootnoteText"/>
        <w:spacing w:before="0"/>
        <w:rPr>
          <w:b/>
          <w:iCs/>
          <w:lang w:eastAsia="en-GB"/>
        </w:rPr>
      </w:pPr>
      <w:hyperlink r:id="rId5" w:history="1">
        <w:r w:rsidR="0083044B" w:rsidRPr="008E4D64">
          <w:rPr>
            <w:rStyle w:val="Hyperlink"/>
            <w:rFonts w:eastAsia="Times New Roman"/>
            <w:lang w:eastAsia="en-GB"/>
          </w:rPr>
          <w:t>https://bit.ly/3QichNi</w:t>
        </w:r>
      </w:hyperlink>
      <w:r w:rsidR="0083044B" w:rsidRPr="008E4D64">
        <w:rPr>
          <w:lang w:eastAsia="en-GB"/>
        </w:rPr>
        <w:t xml:space="preserve">; James Thuo Gathii, 2016. </w:t>
      </w:r>
      <w:r w:rsidR="0083044B" w:rsidRPr="00280035">
        <w:rPr>
          <w:b/>
          <w:iCs/>
          <w:lang w:eastAsia="en-GB"/>
        </w:rPr>
        <w:t>The Contested Empowerment of Kenya’s</w:t>
      </w:r>
    </w:p>
    <w:p w14:paraId="241513B0" w14:textId="77777777" w:rsidR="0083044B" w:rsidRPr="008E4D64" w:rsidRDefault="0083044B" w:rsidP="008E4D64">
      <w:pPr>
        <w:pStyle w:val="FootnoteText"/>
        <w:spacing w:before="0"/>
        <w:rPr>
          <w:lang w:eastAsia="en-GB"/>
        </w:rPr>
      </w:pPr>
      <w:r w:rsidRPr="00280035">
        <w:rPr>
          <w:b/>
          <w:iCs/>
          <w:lang w:eastAsia="en-GB"/>
        </w:rPr>
        <w:t>Judiciary, 2010–2015: A Historical Institutional Analysis</w:t>
      </w:r>
      <w:r w:rsidRPr="008E4D64">
        <w:rPr>
          <w:i/>
          <w:iCs/>
          <w:lang w:eastAsia="en-GB"/>
        </w:rPr>
        <w:t xml:space="preserve">. </w:t>
      </w:r>
      <w:r w:rsidRPr="008E4D64">
        <w:rPr>
          <w:lang w:eastAsia="en-GB"/>
        </w:rPr>
        <w:t>Sheria Publishing House; Morris</w:t>
      </w:r>
    </w:p>
    <w:p w14:paraId="57A1068D" w14:textId="77777777" w:rsidR="0083044B" w:rsidRPr="00280035" w:rsidRDefault="0083044B" w:rsidP="008E4D64">
      <w:pPr>
        <w:pStyle w:val="FootnoteText"/>
        <w:spacing w:before="0"/>
        <w:rPr>
          <w:b/>
          <w:iCs/>
          <w:lang w:eastAsia="en-GB"/>
        </w:rPr>
      </w:pPr>
      <w:r w:rsidRPr="008E4D64">
        <w:rPr>
          <w:lang w:eastAsia="en-GB"/>
        </w:rPr>
        <w:t xml:space="preserve">Kiwinda Mbondenyi, Evelyne Owiye Asaala, Tom Kabau, &amp; Attiya Waris, eds. 2015; </w:t>
      </w:r>
      <w:r w:rsidRPr="00280035">
        <w:rPr>
          <w:b/>
          <w:iCs/>
          <w:lang w:eastAsia="en-GB"/>
        </w:rPr>
        <w:t>Human</w:t>
      </w:r>
    </w:p>
    <w:p w14:paraId="5785313A" w14:textId="77777777" w:rsidR="0083044B" w:rsidRDefault="0083044B" w:rsidP="008E4D64">
      <w:pPr>
        <w:pStyle w:val="FootnoteText"/>
        <w:spacing w:before="0"/>
        <w:rPr>
          <w:lang w:eastAsia="en-GB"/>
        </w:rPr>
      </w:pPr>
      <w:r w:rsidRPr="00280035">
        <w:rPr>
          <w:b/>
          <w:iCs/>
          <w:lang w:eastAsia="en-GB"/>
        </w:rPr>
        <w:t>Rights and Democratic Governance in Kenya: A Post-2007 Appraisal</w:t>
      </w:r>
      <w:r w:rsidRPr="008E4D64">
        <w:rPr>
          <w:i/>
          <w:iCs/>
          <w:lang w:eastAsia="en-GB"/>
        </w:rPr>
        <w:t xml:space="preserve">. </w:t>
      </w:r>
      <w:r w:rsidRPr="008E4D64">
        <w:rPr>
          <w:lang w:eastAsia="en-GB"/>
        </w:rPr>
        <w:t>Pretoria: Pretoria</w:t>
      </w:r>
    </w:p>
    <w:p w14:paraId="2BBE6E64" w14:textId="77777777" w:rsidR="0083044B" w:rsidRDefault="0083044B" w:rsidP="008E4D64">
      <w:pPr>
        <w:pStyle w:val="FootnoteText"/>
        <w:spacing w:before="0"/>
      </w:pPr>
      <w:r w:rsidRPr="008E4D64">
        <w:rPr>
          <w:lang w:eastAsia="en-GB"/>
        </w:rPr>
        <w:t>University</w:t>
      </w:r>
      <w:r>
        <w:rPr>
          <w:lang w:eastAsia="en-GB"/>
        </w:rPr>
        <w:t xml:space="preserve"> </w:t>
      </w:r>
      <w:r w:rsidRPr="008E4D64">
        <w:rPr>
          <w:lang w:eastAsia="en-GB"/>
        </w:rPr>
        <w:t xml:space="preserve">Law Press; </w:t>
      </w:r>
      <w:r w:rsidRPr="008E4D64">
        <w:rPr>
          <w:color w:val="000000" w:themeColor="text1"/>
          <w:lang w:eastAsia="en-GB"/>
        </w:rPr>
        <w:t xml:space="preserve">Elizabeth A. O’Loughlin 2017. </w:t>
      </w:r>
      <w:r>
        <w:rPr>
          <w:color w:val="000000" w:themeColor="text1"/>
          <w:lang w:eastAsia="en-GB"/>
        </w:rPr>
        <w:t>‘</w:t>
      </w:r>
      <w:r w:rsidRPr="008E4D64">
        <w:t>Kenya’s</w:t>
      </w:r>
      <w:r>
        <w:t xml:space="preserve"> </w:t>
      </w:r>
      <w:r w:rsidRPr="008E4D64">
        <w:t>Constitution in a</w:t>
      </w:r>
      <w:r>
        <w:t xml:space="preserve"> </w:t>
      </w:r>
      <w:r w:rsidRPr="008E4D64">
        <w:t>Global Context.</w:t>
      </w:r>
      <w:r>
        <w:t>’</w:t>
      </w:r>
    </w:p>
    <w:p w14:paraId="439DB085" w14:textId="77777777" w:rsidR="0083044B" w:rsidRDefault="0083044B" w:rsidP="00280035">
      <w:pPr>
        <w:pStyle w:val="FootnoteText"/>
        <w:spacing w:before="0"/>
        <w:rPr>
          <w:lang w:eastAsia="en-GB"/>
        </w:rPr>
      </w:pPr>
      <w:r w:rsidRPr="008E4D64">
        <w:t>In</w:t>
      </w:r>
      <w:r>
        <w:t xml:space="preserve"> </w:t>
      </w:r>
      <w:r w:rsidRPr="008E4D64">
        <w:rPr>
          <w:i/>
        </w:rPr>
        <w:t>International Journal of Constitutional Law</w:t>
      </w:r>
      <w:r w:rsidRPr="008E4D64">
        <w:t>, Volume 15, Issue</w:t>
      </w:r>
      <w:r>
        <w:t>,</w:t>
      </w:r>
      <w:r>
        <w:rPr>
          <w:lang w:eastAsia="en-GB"/>
        </w:rPr>
        <w:t xml:space="preserve"> pp.</w:t>
      </w:r>
      <w:r w:rsidRPr="008E4D64">
        <w:rPr>
          <w:lang w:eastAsia="en-GB"/>
        </w:rPr>
        <w:t xml:space="preserve"> 839-848</w:t>
      </w:r>
      <w:r>
        <w:rPr>
          <w:lang w:eastAsia="en-GB"/>
        </w:rPr>
        <w:t>.</w:t>
      </w:r>
    </w:p>
    <w:p w14:paraId="1389AF04" w14:textId="77777777" w:rsidR="0083044B" w:rsidRPr="008E4D64" w:rsidRDefault="008819B3" w:rsidP="00280035">
      <w:pPr>
        <w:pStyle w:val="FootnoteText"/>
        <w:spacing w:before="0"/>
        <w:rPr>
          <w:lang w:val="en-US"/>
        </w:rPr>
      </w:pPr>
      <w:hyperlink r:id="rId6" w:history="1">
        <w:r w:rsidR="0083044B" w:rsidRPr="008E4D64">
          <w:rPr>
            <w:color w:val="0000FF"/>
            <w:u w:val="single"/>
            <w:lang w:eastAsia="en-GB"/>
          </w:rPr>
          <w:t>https://doi.org/10.1093/icon/mox062</w:t>
        </w:r>
      </w:hyperlink>
    </w:p>
  </w:footnote>
  <w:footnote w:id="26">
    <w:p w14:paraId="240BF7FC" w14:textId="77777777" w:rsidR="0083044B" w:rsidRPr="008E4D64" w:rsidRDefault="0083044B" w:rsidP="008E4D64">
      <w:pPr>
        <w:pStyle w:val="FootnoteText"/>
        <w:spacing w:before="0"/>
        <w:rPr>
          <w:lang w:val="en-US"/>
        </w:rPr>
      </w:pPr>
      <w:r w:rsidRPr="008E4D64">
        <w:rPr>
          <w:rStyle w:val="FootnoteReference"/>
          <w:rFonts w:ascii="Times New Roman" w:hAnsi="Times New Roman" w:cs="Times New Roman"/>
          <w:sz w:val="20"/>
        </w:rPr>
        <w:footnoteRef/>
      </w:r>
      <w:r>
        <w:rPr>
          <w:lang w:val="en-US"/>
        </w:rPr>
        <w:t xml:space="preserve">GoK, 2022. The </w:t>
      </w:r>
      <w:r w:rsidRPr="008E4D64">
        <w:rPr>
          <w:lang w:val="en-US"/>
        </w:rPr>
        <w:t>Children’s Act.</w:t>
      </w:r>
    </w:p>
  </w:footnote>
  <w:footnote w:id="27">
    <w:p w14:paraId="7A35359E" w14:textId="3E06E30C" w:rsidR="0083044B" w:rsidRPr="008E4D64" w:rsidRDefault="0083044B" w:rsidP="008E4D64">
      <w:pPr>
        <w:pStyle w:val="FootnoteText"/>
        <w:spacing w:before="0"/>
        <w:ind w:left="0" w:firstLine="0"/>
        <w:rPr>
          <w:lang w:val="en-US"/>
        </w:rPr>
      </w:pPr>
      <w:r w:rsidRPr="008E4D64">
        <w:rPr>
          <w:rStyle w:val="FootnoteReference"/>
          <w:rFonts w:ascii="Times New Roman" w:hAnsi="Times New Roman" w:cs="Times New Roman"/>
          <w:sz w:val="20"/>
        </w:rPr>
        <w:footnoteRef/>
      </w:r>
      <w:r w:rsidR="00850F1B">
        <w:rPr>
          <w:lang w:val="en-US"/>
        </w:rPr>
        <w:t>Ibid.</w:t>
      </w:r>
      <w:r w:rsidRPr="008E4D64">
        <w:rPr>
          <w:lang w:val="en-US"/>
        </w:rPr>
        <w:t xml:space="preserve"> Art</w:t>
      </w:r>
      <w:r>
        <w:rPr>
          <w:lang w:val="en-US"/>
        </w:rPr>
        <w:t>s.</w:t>
      </w:r>
      <w:r w:rsidRPr="008E4D64">
        <w:rPr>
          <w:lang w:val="en-US"/>
        </w:rPr>
        <w:t xml:space="preserve"> </w:t>
      </w:r>
      <w:r w:rsidRPr="008E4D64">
        <w:t>27, 47, 4 8, 4 9, 50, 51 and 53</w:t>
      </w:r>
    </w:p>
  </w:footnote>
  <w:footnote w:id="28">
    <w:p w14:paraId="6656DBA4" w14:textId="77777777" w:rsidR="0083044B" w:rsidRDefault="0083044B" w:rsidP="00280035">
      <w:pPr>
        <w:pStyle w:val="FootnoteText"/>
        <w:spacing w:before="0"/>
        <w:rPr>
          <w:b/>
        </w:rPr>
      </w:pPr>
      <w:r w:rsidRPr="008E4D64">
        <w:rPr>
          <w:rStyle w:val="FootnoteReference"/>
          <w:rFonts w:ascii="Times New Roman" w:hAnsi="Times New Roman" w:cs="Times New Roman"/>
          <w:sz w:val="20"/>
        </w:rPr>
        <w:footnoteRef/>
      </w:r>
      <w:r w:rsidRPr="008E4D64">
        <w:rPr>
          <w:lang w:val="en-US"/>
        </w:rPr>
        <w:t xml:space="preserve">Ibid Art. 2 (5); </w:t>
      </w:r>
      <w:r>
        <w:rPr>
          <w:lang w:val="en-US"/>
        </w:rPr>
        <w:t xml:space="preserve">UN, 1989. </w:t>
      </w:r>
      <w:r w:rsidRPr="00280035">
        <w:rPr>
          <w:b/>
        </w:rPr>
        <w:t xml:space="preserve">Convention on the Rights of the Child </w:t>
      </w:r>
      <w:r w:rsidRPr="008E4D64">
        <w:t xml:space="preserve">(CRC); </w:t>
      </w:r>
      <w:r>
        <w:t xml:space="preserve">AU, 1990. </w:t>
      </w:r>
      <w:r w:rsidRPr="00280035">
        <w:rPr>
          <w:b/>
        </w:rPr>
        <w:t>African</w:t>
      </w:r>
    </w:p>
    <w:p w14:paraId="2D351C7D" w14:textId="77777777" w:rsidR="0083044B" w:rsidRPr="008E4D64" w:rsidRDefault="0083044B" w:rsidP="00280035">
      <w:pPr>
        <w:pStyle w:val="FootnoteText"/>
        <w:spacing w:before="0"/>
        <w:rPr>
          <w:lang w:val="en-US"/>
        </w:rPr>
      </w:pPr>
      <w:r w:rsidRPr="00280035">
        <w:rPr>
          <w:b/>
        </w:rPr>
        <w:t>Charter</w:t>
      </w:r>
      <w:r>
        <w:rPr>
          <w:b/>
        </w:rPr>
        <w:t xml:space="preserve"> </w:t>
      </w:r>
      <w:r w:rsidRPr="00280035">
        <w:rPr>
          <w:b/>
        </w:rPr>
        <w:t>on the Rights and Welfare of the Child</w:t>
      </w:r>
      <w:r w:rsidRPr="008E4D64">
        <w:t xml:space="preserve"> (ACRWC), 1990. </w:t>
      </w:r>
    </w:p>
  </w:footnote>
  <w:footnote w:id="29">
    <w:p w14:paraId="6992AF30" w14:textId="77777777" w:rsidR="0083044B" w:rsidRPr="008E4D64" w:rsidRDefault="0083044B" w:rsidP="00280035">
      <w:pPr>
        <w:pStyle w:val="FootnoteText"/>
        <w:spacing w:before="0"/>
        <w:ind w:left="0" w:firstLine="0"/>
        <w:rPr>
          <w:lang w:val="en-US"/>
        </w:rPr>
      </w:pPr>
      <w:r w:rsidRPr="008E4D64">
        <w:rPr>
          <w:rStyle w:val="FootnoteReference"/>
          <w:sz w:val="20"/>
        </w:rPr>
        <w:footnoteRef/>
      </w:r>
      <w:r w:rsidRPr="008E4D64">
        <w:t xml:space="preserve"> See Children Act, 2001, Cap 141 Laws of Kenya (Act No. 8 of 2001, L.N. 23/2002, Act No. 8 of 2010, Act No. 12 of 2012)</w:t>
      </w:r>
    </w:p>
  </w:footnote>
  <w:footnote w:id="30">
    <w:p w14:paraId="3B57C517" w14:textId="77777777" w:rsidR="0083044B" w:rsidRPr="008E4D64" w:rsidRDefault="0083044B" w:rsidP="008E4D64">
      <w:pPr>
        <w:pStyle w:val="FootnoteText"/>
        <w:spacing w:before="0"/>
        <w:ind w:left="0" w:firstLine="0"/>
        <w:rPr>
          <w:lang w:val="en-US"/>
        </w:rPr>
      </w:pPr>
      <w:r w:rsidRPr="008E4D64">
        <w:rPr>
          <w:rStyle w:val="FootnoteReference"/>
          <w:sz w:val="20"/>
        </w:rPr>
        <w:footnoteRef/>
      </w:r>
      <w:r w:rsidRPr="008E4D64">
        <w:rPr>
          <w:lang w:val="en-US"/>
        </w:rPr>
        <w:t xml:space="preserve">Ibid. Section 21 </w:t>
      </w:r>
    </w:p>
  </w:footnote>
  <w:footnote w:id="31">
    <w:p w14:paraId="3130D87A" w14:textId="77777777" w:rsidR="0083044B" w:rsidRPr="004E218D" w:rsidRDefault="0083044B" w:rsidP="004E218D">
      <w:pPr>
        <w:pStyle w:val="FootnoteText"/>
        <w:spacing w:before="0"/>
        <w:rPr>
          <w:lang w:val="en-US"/>
        </w:rPr>
      </w:pPr>
      <w:r w:rsidRPr="004E218D">
        <w:rPr>
          <w:rStyle w:val="FootnoteReference"/>
          <w:rFonts w:ascii="Times New Roman" w:hAnsi="Times New Roman" w:cs="Times New Roman"/>
          <w:sz w:val="20"/>
        </w:rPr>
        <w:footnoteRef/>
      </w:r>
      <w:r w:rsidRPr="004E218D">
        <w:t xml:space="preserve">GoK, 2001. </w:t>
      </w:r>
      <w:r w:rsidRPr="004E218D">
        <w:rPr>
          <w:b/>
        </w:rPr>
        <w:t>The</w:t>
      </w:r>
      <w:r w:rsidRPr="004E218D">
        <w:rPr>
          <w:b/>
          <w:lang w:val="en-US"/>
        </w:rPr>
        <w:t xml:space="preserve"> </w:t>
      </w:r>
      <w:r w:rsidRPr="004E218D">
        <w:rPr>
          <w:b/>
        </w:rPr>
        <w:t>Children’s Ac</w:t>
      </w:r>
      <w:r w:rsidRPr="004E218D">
        <w:t>t.</w:t>
      </w:r>
    </w:p>
  </w:footnote>
  <w:footnote w:id="32">
    <w:p w14:paraId="39ED80FC" w14:textId="77777777" w:rsidR="0083044B" w:rsidRPr="004E218D" w:rsidRDefault="0083044B" w:rsidP="004E218D">
      <w:pPr>
        <w:spacing w:line="240" w:lineRule="auto"/>
        <w:rPr>
          <w:rFonts w:cs="Times New Roman"/>
          <w:sz w:val="20"/>
          <w:szCs w:val="20"/>
        </w:rPr>
      </w:pPr>
      <w:r w:rsidRPr="004E218D">
        <w:rPr>
          <w:rStyle w:val="FootnoteReference"/>
          <w:rFonts w:ascii="Times New Roman" w:hAnsi="Times New Roman" w:cs="Times New Roman"/>
          <w:sz w:val="20"/>
          <w:szCs w:val="20"/>
        </w:rPr>
        <w:footnoteRef/>
      </w:r>
      <w:r w:rsidRPr="004E218D">
        <w:rPr>
          <w:rFonts w:cs="Times New Roman"/>
          <w:sz w:val="20"/>
          <w:szCs w:val="20"/>
        </w:rPr>
        <w:t>In 2001, the Netherlands became the first country to legalize same-sex marriages. Belgium followed suit in 2003 and granted equal rights to same-sex married couples. As at 2022, there are just about 29 countries that allow same-sex couples to marry. Costa Rica is the latest country to pass legislation making it the first Central American nation to allow same-sex marriage in May 26, 2020.</w:t>
      </w:r>
    </w:p>
    <w:p w14:paraId="677A1405" w14:textId="77777777" w:rsidR="0083044B" w:rsidRPr="004E218D" w:rsidRDefault="0083044B" w:rsidP="004E218D">
      <w:pPr>
        <w:spacing w:line="240" w:lineRule="auto"/>
        <w:rPr>
          <w:rFonts w:cs="Times New Roman"/>
          <w:sz w:val="20"/>
          <w:szCs w:val="20"/>
        </w:rPr>
      </w:pPr>
      <w:r w:rsidRPr="004E218D">
        <w:rPr>
          <w:rFonts w:cs="Times New Roman"/>
          <w:sz w:val="20"/>
          <w:szCs w:val="20"/>
        </w:rPr>
        <w:t xml:space="preserve">See ‘The 29 countries around the world where same-sex marriage is legal.’ </w:t>
      </w:r>
      <w:r w:rsidRPr="004E218D">
        <w:rPr>
          <w:rFonts w:cs="Times New Roman"/>
          <w:i/>
          <w:sz w:val="20"/>
          <w:szCs w:val="20"/>
        </w:rPr>
        <w:t>Business Insider Africa</w:t>
      </w:r>
    </w:p>
    <w:p w14:paraId="515EE0CD" w14:textId="77777777" w:rsidR="0083044B" w:rsidRPr="004E218D" w:rsidRDefault="0083044B" w:rsidP="004E218D">
      <w:pPr>
        <w:spacing w:line="240" w:lineRule="auto"/>
        <w:rPr>
          <w:rFonts w:cs="Times New Roman"/>
          <w:sz w:val="20"/>
          <w:szCs w:val="20"/>
        </w:rPr>
      </w:pPr>
      <w:r w:rsidRPr="004E218D">
        <w:rPr>
          <w:rFonts w:cs="Times New Roman"/>
          <w:sz w:val="20"/>
          <w:szCs w:val="20"/>
        </w:rPr>
        <w:t xml:space="preserve"> </w:t>
      </w:r>
      <w:hyperlink r:id="rId7" w:history="1">
        <w:r w:rsidRPr="004E218D">
          <w:rPr>
            <w:rStyle w:val="Hyperlink"/>
            <w:rFonts w:cs="Times New Roman"/>
            <w:sz w:val="20"/>
            <w:szCs w:val="20"/>
          </w:rPr>
          <w:t>https://bit.ly/3dLqBQP</w:t>
        </w:r>
      </w:hyperlink>
    </w:p>
  </w:footnote>
  <w:footnote w:id="33">
    <w:p w14:paraId="3FE30246" w14:textId="77777777" w:rsidR="0083044B" w:rsidRPr="004E218D" w:rsidRDefault="0083044B" w:rsidP="009257F7">
      <w:pPr>
        <w:spacing w:line="240" w:lineRule="auto"/>
        <w:rPr>
          <w:rFonts w:cs="Times New Roman"/>
          <w:sz w:val="20"/>
          <w:szCs w:val="20"/>
        </w:rPr>
      </w:pPr>
      <w:r w:rsidRPr="004E218D">
        <w:rPr>
          <w:rStyle w:val="FootnoteReference"/>
          <w:rFonts w:ascii="Times New Roman" w:hAnsi="Times New Roman" w:cs="Times New Roman"/>
          <w:sz w:val="20"/>
          <w:szCs w:val="20"/>
        </w:rPr>
        <w:footnoteRef/>
      </w:r>
      <w:r w:rsidRPr="004E218D">
        <w:rPr>
          <w:rFonts w:cs="Times New Roman"/>
          <w:sz w:val="20"/>
          <w:szCs w:val="20"/>
        </w:rPr>
        <w:t>In February this 2022, Angola's President Joao Lourenco signed into law a revised penal code to allow same-sex relationships and bans discrimination on the basis of sexual orientation. In June last 2021, Gabon reversed a law that had criminalised homosexuality and made gay sex punishable with six months in prison and a large fine.</w:t>
      </w:r>
      <w:r>
        <w:rPr>
          <w:rFonts w:cs="Times New Roman"/>
          <w:sz w:val="20"/>
          <w:szCs w:val="20"/>
        </w:rPr>
        <w:t xml:space="preserve"> See </w:t>
      </w:r>
      <w:r w:rsidRPr="004E218D">
        <w:rPr>
          <w:rFonts w:cs="Times New Roman"/>
          <w:sz w:val="20"/>
          <w:szCs w:val="20"/>
        </w:rPr>
        <w:t>where</w:t>
      </w:r>
      <w:r w:rsidRPr="00200AB1">
        <w:rPr>
          <w:rFonts w:cs="Times New Roman"/>
          <w:sz w:val="20"/>
          <w:szCs w:val="20"/>
        </w:rPr>
        <w:t xml:space="preserve"> is homosexuality still outlawed?</w:t>
      </w:r>
      <w:r>
        <w:rPr>
          <w:rFonts w:cs="Times New Roman"/>
          <w:sz w:val="20"/>
          <w:szCs w:val="20"/>
        </w:rPr>
        <w:t xml:space="preserve"> </w:t>
      </w:r>
      <w:hyperlink r:id="rId8" w:history="1">
        <w:r w:rsidRPr="004E218D">
          <w:rPr>
            <w:rStyle w:val="Hyperlink"/>
            <w:rFonts w:cs="Times New Roman"/>
            <w:sz w:val="20"/>
            <w:szCs w:val="20"/>
          </w:rPr>
          <w:t>https://bbc.in/3wdIiiz</w:t>
        </w:r>
      </w:hyperlink>
    </w:p>
  </w:footnote>
  <w:footnote w:id="34">
    <w:p w14:paraId="02DAFD31" w14:textId="77777777" w:rsidR="0083044B" w:rsidRPr="00A4003D" w:rsidRDefault="0083044B" w:rsidP="004E218D">
      <w:pPr>
        <w:pStyle w:val="FootnoteText"/>
        <w:spacing w:before="0"/>
      </w:pPr>
      <w:r w:rsidRPr="004E218D">
        <w:rPr>
          <w:rStyle w:val="FootnoteReference"/>
          <w:rFonts w:ascii="Times New Roman" w:hAnsi="Times New Roman" w:cs="Times New Roman"/>
          <w:sz w:val="20"/>
        </w:rPr>
        <w:footnoteRef/>
      </w:r>
      <w:r>
        <w:t xml:space="preserve">Kenya Law Reporting. </w:t>
      </w:r>
      <w:r w:rsidRPr="009257F7">
        <w:rPr>
          <w:b/>
        </w:rPr>
        <w:t>Penal Code Cap 63 Laws of Kenya</w:t>
      </w:r>
      <w:r>
        <w:t xml:space="preserve">. </w:t>
      </w:r>
      <w:hyperlink r:id="rId9" w:history="1">
        <w:r w:rsidRPr="004E218D">
          <w:rPr>
            <w:rStyle w:val="Hyperlink"/>
          </w:rPr>
          <w:t>https://bit.ly/2BANFhX</w:t>
        </w:r>
      </w:hyperlink>
    </w:p>
  </w:footnote>
  <w:footnote w:id="35">
    <w:p w14:paraId="262FF866" w14:textId="77777777" w:rsidR="0083044B" w:rsidRPr="00FE5D3E" w:rsidRDefault="0083044B" w:rsidP="00405D60">
      <w:pPr>
        <w:pStyle w:val="FootnoteText"/>
        <w:spacing w:before="0"/>
        <w:rPr>
          <w:lang w:val="en-US"/>
        </w:rPr>
      </w:pPr>
      <w:r w:rsidRPr="00FE5D3E">
        <w:rPr>
          <w:rStyle w:val="FootnoteReference"/>
          <w:rFonts w:ascii="Times New Roman" w:hAnsi="Times New Roman" w:cs="Times New Roman"/>
          <w:sz w:val="20"/>
        </w:rPr>
        <w:footnoteRef/>
      </w:r>
      <w:r w:rsidRPr="00FE5D3E">
        <w:rPr>
          <w:lang w:val="en-US"/>
        </w:rPr>
        <w:t>Kenya Law Reporting. Penal Code, Cap 63 Laws of Kenya, Art. 162.</w:t>
      </w:r>
    </w:p>
  </w:footnote>
  <w:footnote w:id="36">
    <w:p w14:paraId="1959325B" w14:textId="77777777" w:rsidR="0083044B" w:rsidRPr="00FE5D3E" w:rsidRDefault="0083044B" w:rsidP="00405D60">
      <w:pPr>
        <w:pStyle w:val="FootnoteText"/>
        <w:spacing w:before="0"/>
        <w:rPr>
          <w:lang w:val="en-US"/>
        </w:rPr>
      </w:pPr>
      <w:r w:rsidRPr="00FE5D3E">
        <w:rPr>
          <w:rStyle w:val="FootnoteReference"/>
          <w:rFonts w:ascii="Times New Roman" w:hAnsi="Times New Roman" w:cs="Times New Roman"/>
          <w:sz w:val="20"/>
        </w:rPr>
        <w:footnoteRef/>
      </w:r>
      <w:r w:rsidRPr="00FE5D3E">
        <w:rPr>
          <w:lang w:val="en-US"/>
        </w:rPr>
        <w:t>Ibid., Art. 163.</w:t>
      </w:r>
    </w:p>
  </w:footnote>
  <w:footnote w:id="37">
    <w:p w14:paraId="0DED9A9D" w14:textId="77777777" w:rsidR="0083044B" w:rsidRPr="00FE5D3E" w:rsidRDefault="0083044B" w:rsidP="00D50C93">
      <w:pPr>
        <w:pStyle w:val="FootnoteText"/>
        <w:spacing w:before="0"/>
        <w:rPr>
          <w:lang w:val="en-US"/>
        </w:rPr>
      </w:pPr>
      <w:r w:rsidRPr="00FE5D3E">
        <w:rPr>
          <w:rStyle w:val="FootnoteReference"/>
          <w:rFonts w:ascii="Times New Roman" w:hAnsi="Times New Roman" w:cs="Times New Roman"/>
          <w:sz w:val="20"/>
        </w:rPr>
        <w:footnoteRef/>
      </w:r>
      <w:r w:rsidRPr="00FE5D3E">
        <w:rPr>
          <w:lang w:val="en-US"/>
        </w:rPr>
        <w:t xml:space="preserve">Ibid., Art. 165. </w:t>
      </w:r>
    </w:p>
  </w:footnote>
  <w:footnote w:id="38">
    <w:p w14:paraId="6F512C6F" w14:textId="77777777" w:rsidR="0083044B" w:rsidRPr="00FE5D3E" w:rsidRDefault="0083044B" w:rsidP="00FE5D3E">
      <w:pPr>
        <w:spacing w:line="240" w:lineRule="auto"/>
        <w:rPr>
          <w:rFonts w:cs="Times New Roman"/>
          <w:sz w:val="20"/>
          <w:szCs w:val="20"/>
          <w:lang w:val="en-US"/>
        </w:rPr>
      </w:pPr>
      <w:r w:rsidRPr="00FE5D3E">
        <w:rPr>
          <w:rStyle w:val="FootnoteReference"/>
          <w:rFonts w:ascii="Times New Roman" w:hAnsi="Times New Roman" w:cs="Times New Roman"/>
          <w:sz w:val="20"/>
          <w:szCs w:val="20"/>
        </w:rPr>
        <w:footnoteRef/>
      </w:r>
      <w:r w:rsidRPr="00FE5D3E">
        <w:rPr>
          <w:rFonts w:cs="Times New Roman"/>
          <w:sz w:val="20"/>
          <w:szCs w:val="20"/>
        </w:rPr>
        <w:t>Oral sex involves using the mouth to stimulate the genitals or genital area of a sex partner. Types of oral sex include the penis (fellatio), vagina (cunnilingus), and anus (anilingus).</w:t>
      </w:r>
      <w:r>
        <w:rPr>
          <w:rFonts w:cs="Times New Roman"/>
          <w:sz w:val="20"/>
          <w:szCs w:val="20"/>
        </w:rPr>
        <w:t xml:space="preserve"> </w:t>
      </w:r>
      <w:r w:rsidRPr="00FE5D3E">
        <w:rPr>
          <w:rFonts w:cs="Times New Roman"/>
          <w:sz w:val="20"/>
          <w:szCs w:val="20"/>
        </w:rPr>
        <w:t xml:space="preserve">See, Centres for Disease Control and Prevention </w:t>
      </w:r>
      <w:r>
        <w:rPr>
          <w:rFonts w:cs="Times New Roman"/>
          <w:sz w:val="20"/>
          <w:szCs w:val="20"/>
        </w:rPr>
        <w:t>(</w:t>
      </w:r>
      <w:r w:rsidRPr="00FE5D3E">
        <w:rPr>
          <w:rFonts w:cs="Times New Roman"/>
          <w:sz w:val="20"/>
          <w:szCs w:val="20"/>
        </w:rPr>
        <w:t>CDC</w:t>
      </w:r>
      <w:r>
        <w:rPr>
          <w:rFonts w:cs="Times New Roman"/>
          <w:sz w:val="20"/>
          <w:szCs w:val="20"/>
        </w:rPr>
        <w:t>)</w:t>
      </w:r>
      <w:r w:rsidRPr="00FE5D3E">
        <w:rPr>
          <w:rFonts w:cs="Times New Roman"/>
          <w:sz w:val="20"/>
          <w:szCs w:val="20"/>
        </w:rPr>
        <w:t>. https://bit.ly/3KKgW9P</w:t>
      </w:r>
    </w:p>
  </w:footnote>
  <w:footnote w:id="39">
    <w:p w14:paraId="18228F65" w14:textId="77777777" w:rsidR="0083044B" w:rsidRPr="00FE5D3E" w:rsidRDefault="0083044B" w:rsidP="00D50C93">
      <w:pPr>
        <w:pStyle w:val="FootnoteText"/>
        <w:spacing w:before="0"/>
      </w:pPr>
      <w:r w:rsidRPr="00FE5D3E">
        <w:rPr>
          <w:rStyle w:val="FootnoteReference"/>
          <w:rFonts w:ascii="Times New Roman" w:hAnsi="Times New Roman" w:cs="Times New Roman"/>
          <w:sz w:val="20"/>
        </w:rPr>
        <w:footnoteRef/>
      </w:r>
      <w:r w:rsidRPr="00FE5D3E">
        <w:t>This involves sexually rubbing and touching a clothed body part as a way of achieving sexual</w:t>
      </w:r>
    </w:p>
    <w:p w14:paraId="00E3CCEB" w14:textId="77777777" w:rsidR="0083044B" w:rsidRPr="00FE5D3E" w:rsidRDefault="0083044B" w:rsidP="00D50C93">
      <w:pPr>
        <w:pStyle w:val="FootnoteText"/>
        <w:spacing w:before="0"/>
        <w:rPr>
          <w:lang w:val="en-US"/>
        </w:rPr>
      </w:pPr>
      <w:r w:rsidRPr="00FE5D3E">
        <w:t>Pleasure.</w:t>
      </w:r>
    </w:p>
  </w:footnote>
  <w:footnote w:id="40">
    <w:p w14:paraId="3E3901D4" w14:textId="77777777" w:rsidR="0083044B" w:rsidRPr="00D50C93" w:rsidRDefault="0083044B" w:rsidP="00D50C93">
      <w:pPr>
        <w:pStyle w:val="FootnoteText"/>
        <w:spacing w:before="0"/>
        <w:rPr>
          <w:lang w:val="en-US"/>
        </w:rPr>
      </w:pPr>
      <w:r w:rsidRPr="00D50C93">
        <w:rPr>
          <w:rStyle w:val="FootnoteReference"/>
          <w:rFonts w:ascii="Times New Roman" w:hAnsi="Times New Roman" w:cs="Times New Roman"/>
          <w:sz w:val="20"/>
        </w:rPr>
        <w:footnoteRef/>
      </w:r>
      <w:r w:rsidRPr="00D50C93">
        <w:t xml:space="preserve">This involves sexual stimulation of the anus by the tongue or mouth. </w:t>
      </w:r>
    </w:p>
  </w:footnote>
  <w:footnote w:id="41">
    <w:p w14:paraId="2C07ED2C" w14:textId="2A632BDB" w:rsidR="0083044B" w:rsidRPr="00D50C93" w:rsidRDefault="0083044B" w:rsidP="00D50C93">
      <w:pPr>
        <w:pStyle w:val="FootnoteText"/>
        <w:spacing w:before="0"/>
        <w:rPr>
          <w:lang w:val="en-US"/>
        </w:rPr>
      </w:pPr>
      <w:r w:rsidRPr="00D50C93">
        <w:rPr>
          <w:rStyle w:val="FootnoteReference"/>
          <w:rFonts w:ascii="Times New Roman" w:hAnsi="Times New Roman" w:cs="Times New Roman"/>
          <w:sz w:val="20"/>
        </w:rPr>
        <w:footnoteRef/>
      </w:r>
      <w:r>
        <w:rPr>
          <w:lang w:val="en-US"/>
        </w:rPr>
        <w:t xml:space="preserve">GoK, 2010. </w:t>
      </w:r>
      <w:r w:rsidRPr="00FE5D3E">
        <w:rPr>
          <w:b/>
          <w:lang w:val="en-US"/>
        </w:rPr>
        <w:t>Constitution of Kenya</w:t>
      </w:r>
      <w:r w:rsidR="00850F1B">
        <w:rPr>
          <w:b/>
          <w:lang w:val="en-US"/>
        </w:rPr>
        <w:t>.</w:t>
      </w:r>
      <w:r w:rsidR="00850F1B">
        <w:rPr>
          <w:lang w:val="en-US"/>
        </w:rPr>
        <w:t xml:space="preserve"> A</w:t>
      </w:r>
      <w:r w:rsidRPr="00D50C93">
        <w:rPr>
          <w:lang w:val="en-US"/>
        </w:rPr>
        <w:t>rt. 31(a)</w:t>
      </w:r>
    </w:p>
  </w:footnote>
  <w:footnote w:id="42">
    <w:p w14:paraId="4722770B" w14:textId="77777777" w:rsidR="0083044B" w:rsidRPr="00D50C93" w:rsidRDefault="0083044B" w:rsidP="00D50C93">
      <w:pPr>
        <w:pStyle w:val="FootnoteText"/>
        <w:spacing w:before="0"/>
        <w:rPr>
          <w:lang w:val="en-US"/>
        </w:rPr>
      </w:pPr>
      <w:r w:rsidRPr="00D50C93">
        <w:rPr>
          <w:rStyle w:val="FootnoteReference"/>
          <w:rFonts w:ascii="Times New Roman" w:hAnsi="Times New Roman" w:cs="Times New Roman"/>
          <w:sz w:val="20"/>
        </w:rPr>
        <w:footnoteRef/>
      </w:r>
      <w:r w:rsidRPr="00D50C93">
        <w:rPr>
          <w:lang w:val="en-US"/>
        </w:rPr>
        <w:t>Ibid, art. 31(b)</w:t>
      </w:r>
    </w:p>
  </w:footnote>
  <w:footnote w:id="43">
    <w:p w14:paraId="103DB478" w14:textId="77777777" w:rsidR="0083044B" w:rsidRPr="00290248" w:rsidRDefault="0083044B" w:rsidP="008E4D64">
      <w:pPr>
        <w:pStyle w:val="FootnoteText"/>
        <w:spacing w:before="0"/>
        <w:rPr>
          <w:lang w:val="en-US"/>
        </w:rPr>
      </w:pPr>
      <w:r w:rsidRPr="00D50C93">
        <w:rPr>
          <w:rStyle w:val="FootnoteReference"/>
          <w:rFonts w:ascii="Times New Roman" w:hAnsi="Times New Roman" w:cs="Times New Roman"/>
          <w:sz w:val="20"/>
        </w:rPr>
        <w:footnoteRef/>
      </w:r>
      <w:r w:rsidRPr="00D50C93">
        <w:rPr>
          <w:lang w:val="en-US"/>
        </w:rPr>
        <w:t>Ibid, art. 131(c</w:t>
      </w:r>
      <w:r>
        <w:rPr>
          <w:lang w:val="en-US"/>
        </w:rPr>
        <w:t>)</w:t>
      </w:r>
    </w:p>
  </w:footnote>
  <w:footnote w:id="44">
    <w:p w14:paraId="2A412069" w14:textId="77777777" w:rsidR="0083044B" w:rsidRPr="00290248" w:rsidRDefault="0083044B" w:rsidP="008E4D64">
      <w:pPr>
        <w:pStyle w:val="FootnoteText"/>
        <w:spacing w:before="0"/>
        <w:rPr>
          <w:lang w:val="en-US"/>
        </w:rPr>
      </w:pPr>
      <w:r>
        <w:rPr>
          <w:rStyle w:val="FootnoteReference"/>
        </w:rPr>
        <w:footnoteRef/>
      </w:r>
      <w:r>
        <w:rPr>
          <w:lang w:val="en-US"/>
        </w:rPr>
        <w:t>Ibid, art. 131(d)</w:t>
      </w:r>
    </w:p>
  </w:footnote>
  <w:footnote w:id="45">
    <w:p w14:paraId="1F851431" w14:textId="77777777" w:rsidR="0083044B" w:rsidRPr="002E2C68" w:rsidRDefault="0083044B" w:rsidP="002C56AC">
      <w:pPr>
        <w:pStyle w:val="FootnoteText"/>
        <w:spacing w:before="0"/>
        <w:rPr>
          <w:lang w:val="en-US"/>
        </w:rPr>
      </w:pPr>
      <w:r w:rsidRPr="002E2C68">
        <w:rPr>
          <w:rStyle w:val="FootnoteReference"/>
          <w:sz w:val="20"/>
        </w:rPr>
        <w:footnoteRef/>
      </w:r>
      <w:r>
        <w:t xml:space="preserve">Ibid, </w:t>
      </w:r>
      <w:r w:rsidRPr="002E2C68">
        <w:rPr>
          <w:lang w:val="en-US"/>
        </w:rPr>
        <w:t>art. 27</w:t>
      </w:r>
    </w:p>
  </w:footnote>
  <w:footnote w:id="46">
    <w:p w14:paraId="4F64708B" w14:textId="77777777" w:rsidR="0083044B" w:rsidRPr="002E2C68" w:rsidRDefault="0083044B" w:rsidP="002C56AC">
      <w:pPr>
        <w:pStyle w:val="FootnoteText"/>
        <w:spacing w:before="0"/>
        <w:rPr>
          <w:lang w:val="en-US"/>
        </w:rPr>
      </w:pPr>
      <w:r w:rsidRPr="002E2C68">
        <w:rPr>
          <w:rStyle w:val="FootnoteReference"/>
          <w:sz w:val="20"/>
        </w:rPr>
        <w:footnoteRef/>
      </w:r>
      <w:r w:rsidRPr="002E2C68">
        <w:rPr>
          <w:lang w:val="en-US"/>
        </w:rPr>
        <w:t xml:space="preserve">See H. Odera Oruka, 1990. </w:t>
      </w:r>
      <w:r w:rsidRPr="00FE5D3E">
        <w:rPr>
          <w:b/>
          <w:lang w:val="en-US"/>
        </w:rPr>
        <w:t>Ethics.</w:t>
      </w:r>
      <w:r w:rsidRPr="002E2C68">
        <w:rPr>
          <w:lang w:val="en-US"/>
        </w:rPr>
        <w:t xml:space="preserve"> Nairobi: University of Nairobi Press, pp. 76-80</w:t>
      </w:r>
      <w:r>
        <w:rPr>
          <w:lang w:val="en-US"/>
        </w:rPr>
        <w:t>.</w:t>
      </w:r>
    </w:p>
  </w:footnote>
  <w:footnote w:id="47">
    <w:p w14:paraId="5B3E6F0B" w14:textId="77777777" w:rsidR="0083044B" w:rsidRPr="00C31D92" w:rsidRDefault="0083044B" w:rsidP="00C31D92">
      <w:pPr>
        <w:spacing w:line="240" w:lineRule="auto"/>
        <w:rPr>
          <w:rFonts w:cs="Times New Roman"/>
          <w:sz w:val="20"/>
          <w:szCs w:val="20"/>
        </w:rPr>
      </w:pPr>
      <w:r w:rsidRPr="00C31D92">
        <w:rPr>
          <w:rStyle w:val="FootnoteReference"/>
          <w:rFonts w:ascii="Times New Roman" w:hAnsi="Times New Roman" w:cs="Times New Roman"/>
          <w:sz w:val="20"/>
          <w:szCs w:val="20"/>
        </w:rPr>
        <w:footnoteRef/>
      </w:r>
      <w:r w:rsidRPr="00C31D92">
        <w:rPr>
          <w:rFonts w:cs="Times New Roman"/>
          <w:sz w:val="20"/>
          <w:szCs w:val="20"/>
        </w:rPr>
        <w:t xml:space="preserve">See R. M Hare, 1952. </w:t>
      </w:r>
      <w:r w:rsidRPr="00C31D92">
        <w:rPr>
          <w:rFonts w:cs="Times New Roman"/>
          <w:b/>
          <w:sz w:val="20"/>
          <w:szCs w:val="20"/>
        </w:rPr>
        <w:t>The Language of Morals</w:t>
      </w:r>
      <w:r w:rsidRPr="00C31D92">
        <w:rPr>
          <w:rFonts w:cs="Times New Roman"/>
          <w:sz w:val="20"/>
          <w:szCs w:val="20"/>
        </w:rPr>
        <w:t xml:space="preserve"> Oxford: Oxford University Press, 1952; Kant Immanuel, 1998.</w:t>
      </w:r>
      <w:r w:rsidRPr="00C31D92">
        <w:rPr>
          <w:rFonts w:cs="Times New Roman"/>
          <w:b/>
          <w:sz w:val="20"/>
          <w:szCs w:val="20"/>
        </w:rPr>
        <w:t xml:space="preserve"> Groundwork of The Metaphysics of Morals</w:t>
      </w:r>
      <w:r w:rsidRPr="00C31D92">
        <w:rPr>
          <w:rFonts w:cs="Times New Roman"/>
          <w:sz w:val="20"/>
          <w:szCs w:val="20"/>
        </w:rPr>
        <w:t>, translated by Mary J. Gregor</w:t>
      </w:r>
    </w:p>
    <w:p w14:paraId="0536DE14" w14:textId="77777777" w:rsidR="0083044B" w:rsidRPr="00C31D92" w:rsidRDefault="0083044B" w:rsidP="00C31D92">
      <w:pPr>
        <w:pStyle w:val="FootnoteText"/>
        <w:spacing w:before="0"/>
        <w:ind w:left="0" w:firstLine="0"/>
        <w:rPr>
          <w:lang w:val="en-US"/>
        </w:rPr>
      </w:pPr>
      <w:r w:rsidRPr="00C31D92">
        <w:t>with an introduction by Christine Korsgaard. Cambridge: Cambridge University Press, p. 421.</w:t>
      </w:r>
    </w:p>
  </w:footnote>
  <w:footnote w:id="48">
    <w:p w14:paraId="24F25A04" w14:textId="77777777" w:rsidR="0083044B" w:rsidRPr="00C31D92" w:rsidRDefault="0083044B" w:rsidP="00C31D92">
      <w:pPr>
        <w:pStyle w:val="FootnoteText"/>
        <w:spacing w:before="0"/>
        <w:rPr>
          <w:lang w:eastAsia="en-GB"/>
        </w:rPr>
      </w:pPr>
      <w:r w:rsidRPr="00C31D92">
        <w:rPr>
          <w:rStyle w:val="FootnoteReference"/>
          <w:rFonts w:ascii="Times New Roman" w:hAnsi="Times New Roman" w:cs="Times New Roman"/>
          <w:sz w:val="20"/>
        </w:rPr>
        <w:footnoteRef/>
      </w:r>
      <w:r w:rsidRPr="00C31D92">
        <w:rPr>
          <w:lang w:eastAsia="en-GB"/>
        </w:rPr>
        <w:t xml:space="preserve">Brenna M. Munro,2017 ‘States of emergence: Writing African female same-sex sexuality.’ In </w:t>
      </w:r>
    </w:p>
    <w:p w14:paraId="00742080" w14:textId="77777777" w:rsidR="0083044B" w:rsidRPr="00C31D92" w:rsidRDefault="0083044B" w:rsidP="00C31D92">
      <w:pPr>
        <w:pStyle w:val="FootnoteText"/>
        <w:spacing w:before="0"/>
        <w:rPr>
          <w:lang w:val="en-US"/>
        </w:rPr>
      </w:pPr>
      <w:r w:rsidRPr="00C31D92">
        <w:rPr>
          <w:i/>
          <w:lang w:eastAsia="en-GB"/>
        </w:rPr>
        <w:t>Journal of Lesbian Studies</w:t>
      </w:r>
      <w:r w:rsidRPr="00C31D92">
        <w:rPr>
          <w:lang w:eastAsia="en-GB"/>
        </w:rPr>
        <w:t xml:space="preserve">, 21:2, 186-203. </w:t>
      </w:r>
      <w:r w:rsidRPr="00C31D92">
        <w:rPr>
          <w:rFonts w:eastAsia="Times New Roman"/>
          <w:lang w:eastAsia="en-GB"/>
        </w:rPr>
        <w:t xml:space="preserve">DOI: </w:t>
      </w:r>
      <w:hyperlink r:id="rId10" w:history="1">
        <w:r w:rsidRPr="00C31D92">
          <w:rPr>
            <w:rFonts w:eastAsia="Times New Roman"/>
            <w:color w:val="0000FF"/>
            <w:u w:val="single"/>
            <w:lang w:eastAsia="en-GB"/>
          </w:rPr>
          <w:t>10.1080/10894160.2016.1148471</w:t>
        </w:r>
      </w:hyperlink>
      <w:r w:rsidRPr="00C31D92">
        <w:rPr>
          <w:rFonts w:eastAsia="Times New Roman"/>
          <w:lang w:eastAsia="en-GB"/>
        </w:rPr>
        <w:t xml:space="preserve"> </w:t>
      </w:r>
    </w:p>
  </w:footnote>
  <w:footnote w:id="49">
    <w:p w14:paraId="4F18997C" w14:textId="77777777" w:rsidR="0083044B" w:rsidRPr="00C9465B" w:rsidRDefault="0083044B" w:rsidP="00C9465B">
      <w:pPr>
        <w:pStyle w:val="FootnoteText"/>
        <w:spacing w:before="0"/>
      </w:pPr>
      <w:r w:rsidRPr="00C9465B">
        <w:rPr>
          <w:rStyle w:val="FootnoteReference"/>
          <w:rFonts w:ascii="Times New Roman" w:hAnsi="Times New Roman" w:cs="Times New Roman"/>
          <w:sz w:val="20"/>
          <w:vertAlign w:val="baseline"/>
          <w:lang w:val="en-GB"/>
        </w:rPr>
        <w:footnoteRef/>
      </w:r>
      <w:r w:rsidRPr="00C9465B">
        <w:t xml:space="preserve">See </w:t>
      </w:r>
      <w:r w:rsidRPr="00C9465B">
        <w:rPr>
          <w:b/>
        </w:rPr>
        <w:t xml:space="preserve">Petition number </w:t>
      </w:r>
      <w:r w:rsidRPr="00C9465B">
        <w:rPr>
          <w:rStyle w:val="Strong"/>
          <w:bCs w:val="0"/>
        </w:rPr>
        <w:t>150</w:t>
      </w:r>
      <w:r w:rsidRPr="00C9465B">
        <w:t xml:space="preserve"> </w:t>
      </w:r>
      <w:r w:rsidRPr="00C9465B">
        <w:rPr>
          <w:b/>
        </w:rPr>
        <w:t>of 2016</w:t>
      </w:r>
      <w:r w:rsidRPr="00C9465B">
        <w:t>.</w:t>
      </w:r>
    </w:p>
  </w:footnote>
  <w:footnote w:id="50">
    <w:p w14:paraId="7DC51591" w14:textId="1DFDA81D" w:rsidR="0083044B" w:rsidRPr="00C9465B" w:rsidRDefault="0083044B" w:rsidP="008E4D64">
      <w:pPr>
        <w:pStyle w:val="FootnoteText"/>
        <w:spacing w:before="0"/>
      </w:pPr>
      <w:r w:rsidRPr="00C9465B">
        <w:rPr>
          <w:rStyle w:val="FootnoteReference"/>
          <w:rFonts w:ascii="Times New Roman" w:hAnsi="Times New Roman" w:cs="Times New Roman"/>
          <w:sz w:val="20"/>
          <w:vertAlign w:val="baseline"/>
          <w:lang w:val="en-GB"/>
        </w:rPr>
        <w:footnoteRef/>
      </w:r>
      <w:r w:rsidRPr="00C9465B">
        <w:t xml:space="preserve">GoK, 2010. </w:t>
      </w:r>
      <w:r w:rsidRPr="00C9465B">
        <w:rPr>
          <w:b/>
        </w:rPr>
        <w:t>Constitution of Kenya</w:t>
      </w:r>
      <w:r w:rsidR="00850F1B">
        <w:rPr>
          <w:b/>
        </w:rPr>
        <w:t xml:space="preserve">. </w:t>
      </w:r>
      <w:r w:rsidR="00850F1B">
        <w:t>A</w:t>
      </w:r>
      <w:r w:rsidRPr="00C9465B">
        <w:t>rt. 45 (2) marriage is defined as  act between</w:t>
      </w:r>
    </w:p>
    <w:p w14:paraId="0CD94E9F" w14:textId="77777777" w:rsidR="0083044B" w:rsidRPr="00C9465B" w:rsidRDefault="0083044B" w:rsidP="008E4D64">
      <w:pPr>
        <w:pStyle w:val="FootnoteText"/>
        <w:spacing w:before="0"/>
      </w:pPr>
      <w:r w:rsidRPr="00C9465B">
        <w:t>persons of the opposite sex and not the same sex.</w:t>
      </w:r>
    </w:p>
  </w:footnote>
  <w:footnote w:id="51">
    <w:p w14:paraId="07A9CF74" w14:textId="1593A739" w:rsidR="0083044B" w:rsidRPr="00F1542C" w:rsidRDefault="0083044B" w:rsidP="008E4D64">
      <w:pPr>
        <w:pStyle w:val="FootnoteText"/>
        <w:spacing w:before="0"/>
        <w:rPr>
          <w:lang w:val="en-US"/>
        </w:rPr>
      </w:pPr>
      <w:r w:rsidRPr="00C9465B">
        <w:rPr>
          <w:rStyle w:val="FootnoteReference"/>
          <w:rFonts w:ascii="Times New Roman" w:hAnsi="Times New Roman" w:cs="Times New Roman"/>
          <w:sz w:val="20"/>
        </w:rPr>
        <w:footnoteRef/>
      </w:r>
      <w:r w:rsidR="00850F1B">
        <w:rPr>
          <w:lang w:val="en-US"/>
        </w:rPr>
        <w:t>GoK, 2010</w:t>
      </w:r>
      <w:r w:rsidR="00850F1B" w:rsidRPr="00513168">
        <w:rPr>
          <w:b/>
          <w:lang w:val="en-US"/>
        </w:rPr>
        <w:t xml:space="preserve">. </w:t>
      </w:r>
      <w:r w:rsidR="00F01930" w:rsidRPr="00513168">
        <w:rPr>
          <w:b/>
          <w:lang w:val="en-US"/>
        </w:rPr>
        <w:t xml:space="preserve">Constitution of </w:t>
      </w:r>
      <w:r w:rsidR="00850F1B" w:rsidRPr="00513168">
        <w:rPr>
          <w:b/>
          <w:lang w:val="en-US"/>
        </w:rPr>
        <w:t>Kenya</w:t>
      </w:r>
      <w:r w:rsidR="00850F1B">
        <w:rPr>
          <w:lang w:val="en-US"/>
        </w:rPr>
        <w:t>. Art.</w:t>
      </w:r>
      <w:r w:rsidRPr="00C9465B">
        <w:rPr>
          <w:lang w:val="en-US"/>
        </w:rPr>
        <w:t xml:space="preserve"> 27</w:t>
      </w:r>
      <w:r w:rsidR="00F01930">
        <w:rPr>
          <w:lang w:val="en-US"/>
        </w:rPr>
        <w:t>.</w:t>
      </w:r>
      <w:r>
        <w:rPr>
          <w:lang w:val="en-US"/>
        </w:rPr>
        <w:t xml:space="preserve"> </w:t>
      </w:r>
    </w:p>
  </w:footnote>
  <w:footnote w:id="52">
    <w:p w14:paraId="24B39308" w14:textId="2866C904" w:rsidR="0083044B" w:rsidRPr="005E4D55" w:rsidRDefault="0083044B" w:rsidP="005E4D55">
      <w:pPr>
        <w:pStyle w:val="FootnoteText"/>
        <w:spacing w:before="0"/>
        <w:rPr>
          <w:lang w:val="en-US"/>
        </w:rPr>
      </w:pPr>
      <w:r w:rsidRPr="005E4D55">
        <w:rPr>
          <w:rStyle w:val="FootnoteReference"/>
          <w:rFonts w:ascii="Times New Roman" w:hAnsi="Times New Roman" w:cs="Times New Roman"/>
          <w:sz w:val="20"/>
        </w:rPr>
        <w:footnoteRef/>
      </w:r>
      <w:r w:rsidRPr="005E4D55">
        <w:t>See UN, What are Human Rights. https://www.ohchr.org/en/what-are-human-rights</w:t>
      </w:r>
    </w:p>
  </w:footnote>
  <w:footnote w:id="53">
    <w:p w14:paraId="4C012FE9" w14:textId="3CD40FC5" w:rsidR="0083044B" w:rsidRPr="005E4D55" w:rsidRDefault="0083044B" w:rsidP="002138B3">
      <w:pPr>
        <w:spacing w:line="240" w:lineRule="auto"/>
        <w:rPr>
          <w:rFonts w:cs="Times New Roman"/>
          <w:sz w:val="20"/>
          <w:szCs w:val="20"/>
          <w:lang w:val="en-US"/>
        </w:rPr>
      </w:pPr>
      <w:r w:rsidRPr="005E4D55">
        <w:rPr>
          <w:rStyle w:val="FootnoteReference"/>
          <w:rFonts w:ascii="Times New Roman" w:hAnsi="Times New Roman" w:cs="Times New Roman"/>
          <w:sz w:val="20"/>
          <w:szCs w:val="20"/>
        </w:rPr>
        <w:footnoteRef/>
      </w:r>
      <w:r w:rsidRPr="005E4D55">
        <w:rPr>
          <w:rFonts w:cs="Times New Roman"/>
          <w:sz w:val="20"/>
          <w:szCs w:val="20"/>
        </w:rPr>
        <w:t xml:space="preserve"> See Alston, Phillip, 1987. ‘Out of the Abyss: Challenges Confronting the New U.N. Committee on Economic, Social, and Cultural Rights.’ In </w:t>
      </w:r>
      <w:r w:rsidRPr="005E4D55">
        <w:rPr>
          <w:rFonts w:cs="Times New Roman"/>
          <w:i/>
          <w:sz w:val="20"/>
          <w:szCs w:val="20"/>
        </w:rPr>
        <w:t>Human Rights Quarterly</w:t>
      </w:r>
      <w:r w:rsidRPr="005E4D55">
        <w:rPr>
          <w:rFonts w:cs="Times New Roman"/>
          <w:sz w:val="20"/>
          <w:szCs w:val="20"/>
        </w:rPr>
        <w:t>, 1987, Vol. 9, No. 3, pp. 332-381</w:t>
      </w:r>
      <w:r>
        <w:rPr>
          <w:rFonts w:cs="Times New Roman"/>
          <w:sz w:val="20"/>
          <w:szCs w:val="20"/>
        </w:rPr>
        <w:t xml:space="preserve">; </w:t>
      </w:r>
      <w:r w:rsidRPr="005E4D55">
        <w:rPr>
          <w:rFonts w:cs="Times New Roman"/>
          <w:sz w:val="20"/>
          <w:szCs w:val="20"/>
        </w:rPr>
        <w:t>Nelson, Paul J.</w:t>
      </w:r>
      <w:r>
        <w:rPr>
          <w:rFonts w:cs="Times New Roman"/>
          <w:sz w:val="20"/>
          <w:szCs w:val="20"/>
        </w:rPr>
        <w:t xml:space="preserve"> &amp; </w:t>
      </w:r>
      <w:r w:rsidRPr="005E4D55">
        <w:rPr>
          <w:rFonts w:cs="Times New Roman"/>
          <w:sz w:val="20"/>
          <w:szCs w:val="20"/>
        </w:rPr>
        <w:t>Ellen Dorsey, 2008. New Rights Advocacy: Changing Strategies of Development and Human Rights NGOs. Washington, D.C.: Georgetown University Press.</w:t>
      </w:r>
    </w:p>
  </w:footnote>
  <w:footnote w:id="54">
    <w:p w14:paraId="188856A1" w14:textId="77777777" w:rsidR="0083044B" w:rsidRPr="005E4D55" w:rsidRDefault="0083044B" w:rsidP="002138B3">
      <w:pPr>
        <w:pStyle w:val="FootnoteText"/>
        <w:spacing w:before="0"/>
      </w:pPr>
      <w:r w:rsidRPr="005E4D55">
        <w:rPr>
          <w:rStyle w:val="FootnoteReference"/>
          <w:rFonts w:ascii="Times New Roman" w:hAnsi="Times New Roman" w:cs="Times New Roman"/>
          <w:sz w:val="20"/>
          <w:lang w:val="en-GB"/>
        </w:rPr>
        <w:footnoteRef/>
      </w:r>
      <w:r w:rsidRPr="005E4D55">
        <w:t xml:space="preserve">UN. 1948. </w:t>
      </w:r>
      <w:r w:rsidRPr="005E4D55">
        <w:rPr>
          <w:b/>
        </w:rPr>
        <w:t>UDHR</w:t>
      </w:r>
      <w:r w:rsidRPr="005E4D55">
        <w:t>, art. 1.</w:t>
      </w:r>
    </w:p>
  </w:footnote>
  <w:footnote w:id="55">
    <w:p w14:paraId="41702EE3" w14:textId="77777777" w:rsidR="0083044B" w:rsidRPr="005E4D55" w:rsidRDefault="0083044B" w:rsidP="005E4D55">
      <w:pPr>
        <w:pStyle w:val="FootnoteText"/>
        <w:spacing w:before="0"/>
      </w:pPr>
      <w:r w:rsidRPr="005E4D55">
        <w:rPr>
          <w:rStyle w:val="FootnoteReference"/>
          <w:rFonts w:ascii="Times New Roman" w:hAnsi="Times New Roman" w:cs="Times New Roman"/>
          <w:sz w:val="20"/>
          <w:lang w:val="en-GB"/>
        </w:rPr>
        <w:footnoteRef/>
      </w:r>
      <w:r w:rsidRPr="005E4D55">
        <w:rPr>
          <w:vertAlign w:val="superscript"/>
        </w:rPr>
        <w:t xml:space="preserve"> </w:t>
      </w:r>
      <w:r w:rsidRPr="005E4D55">
        <w:t>Ibid. Art. 7</w:t>
      </w:r>
    </w:p>
  </w:footnote>
  <w:footnote w:id="56">
    <w:p w14:paraId="07C3907C" w14:textId="77777777" w:rsidR="0083044B" w:rsidRPr="005E4D55" w:rsidRDefault="0083044B" w:rsidP="005E4D55">
      <w:pPr>
        <w:pStyle w:val="FootnoteText"/>
        <w:spacing w:before="0"/>
      </w:pPr>
      <w:r w:rsidRPr="005E4D55">
        <w:rPr>
          <w:rStyle w:val="FootnoteReference"/>
          <w:rFonts w:ascii="Times New Roman" w:hAnsi="Times New Roman" w:cs="Times New Roman"/>
          <w:sz w:val="20"/>
          <w:lang w:val="en-GB"/>
        </w:rPr>
        <w:footnoteRef/>
      </w:r>
      <w:r w:rsidRPr="005E4D55">
        <w:t>Ibid. The Preamble</w:t>
      </w:r>
    </w:p>
  </w:footnote>
  <w:footnote w:id="57">
    <w:p w14:paraId="748AAC9A" w14:textId="77777777" w:rsidR="0083044B" w:rsidRPr="005E4D55" w:rsidRDefault="0083044B" w:rsidP="005E4D55">
      <w:pPr>
        <w:pStyle w:val="FootnoteText"/>
        <w:spacing w:before="0"/>
      </w:pPr>
      <w:r w:rsidRPr="005E4D55">
        <w:rPr>
          <w:rStyle w:val="FootnoteReference"/>
          <w:rFonts w:ascii="Times New Roman" w:hAnsi="Times New Roman" w:cs="Times New Roman"/>
          <w:sz w:val="20"/>
          <w:lang w:val="en-GB"/>
        </w:rPr>
        <w:footnoteRef/>
      </w:r>
      <w:r w:rsidRPr="005E4D55">
        <w:t>Ibid. Arts. 3 &amp; 22</w:t>
      </w:r>
    </w:p>
  </w:footnote>
  <w:footnote w:id="58">
    <w:p w14:paraId="070C7BB2" w14:textId="77777777" w:rsidR="0083044B" w:rsidRPr="005E4D55" w:rsidRDefault="0083044B" w:rsidP="005E4D55">
      <w:pPr>
        <w:pStyle w:val="FootnoteText"/>
        <w:spacing w:before="0"/>
      </w:pPr>
      <w:r w:rsidRPr="005E4D55">
        <w:rPr>
          <w:rStyle w:val="FootnoteReference"/>
          <w:rFonts w:ascii="Times New Roman" w:hAnsi="Times New Roman" w:cs="Times New Roman"/>
          <w:sz w:val="20"/>
          <w:lang w:val="en-GB"/>
        </w:rPr>
        <w:footnoteRef/>
      </w:r>
      <w:r w:rsidRPr="005E4D55">
        <w:t>Ibid. Art. 12</w:t>
      </w:r>
    </w:p>
  </w:footnote>
  <w:footnote w:id="59">
    <w:p w14:paraId="04F216F0" w14:textId="77777777" w:rsidR="0083044B" w:rsidRPr="005E4D55" w:rsidRDefault="0083044B" w:rsidP="005E4D55">
      <w:pPr>
        <w:pStyle w:val="FootnoteText"/>
        <w:spacing w:before="0"/>
      </w:pPr>
      <w:r w:rsidRPr="005E4D55">
        <w:rPr>
          <w:rStyle w:val="FootnoteReference"/>
          <w:rFonts w:ascii="Times New Roman" w:hAnsi="Times New Roman" w:cs="Times New Roman"/>
          <w:sz w:val="20"/>
          <w:lang w:val="en-GB"/>
        </w:rPr>
        <w:footnoteRef/>
      </w:r>
      <w:r w:rsidRPr="005E4D55">
        <w:t>Ibid. Art. 25</w:t>
      </w:r>
    </w:p>
  </w:footnote>
  <w:footnote w:id="60">
    <w:p w14:paraId="56669C4D" w14:textId="77777777" w:rsidR="0083044B" w:rsidRPr="00C9465B" w:rsidRDefault="0083044B" w:rsidP="008E4D64">
      <w:pPr>
        <w:pStyle w:val="FootnoteText"/>
        <w:spacing w:before="0"/>
      </w:pPr>
      <w:r w:rsidRPr="00C9465B">
        <w:rPr>
          <w:rStyle w:val="FootnoteReference"/>
          <w:rFonts w:ascii="Times New Roman" w:hAnsi="Times New Roman" w:cs="Times New Roman"/>
          <w:sz w:val="20"/>
        </w:rPr>
        <w:footnoteRef/>
      </w:r>
      <w:r w:rsidRPr="00C9465B">
        <w:t xml:space="preserve">Müller, A., Daskilewicz, K., Kabwe, M.L. </w:t>
      </w:r>
      <w:r w:rsidRPr="00C9465B">
        <w:rPr>
          <w:i/>
          <w:iCs/>
        </w:rPr>
        <w:t xml:space="preserve">et al, </w:t>
      </w:r>
      <w:r w:rsidRPr="00C9465B">
        <w:rPr>
          <w:iCs/>
        </w:rPr>
        <w:t>2021</w:t>
      </w:r>
      <w:r w:rsidRPr="00C9465B">
        <w:rPr>
          <w:i/>
          <w:iCs/>
        </w:rPr>
        <w:t>.</w:t>
      </w:r>
      <w:r w:rsidRPr="00C9465B">
        <w:t xml:space="preserve"> ‘Experience Of And Factors Associated</w:t>
      </w:r>
    </w:p>
    <w:p w14:paraId="398708C5" w14:textId="77777777" w:rsidR="0083044B" w:rsidRPr="00C9465B" w:rsidRDefault="0083044B" w:rsidP="00C9465B">
      <w:pPr>
        <w:pStyle w:val="FootnoteText"/>
        <w:spacing w:before="0"/>
      </w:pPr>
      <w:r w:rsidRPr="00C9465B">
        <w:t>With Violence Against Sexual And Gender Minorities In Nine African Countries: A Cross Sectional</w:t>
      </w:r>
    </w:p>
    <w:p w14:paraId="0C683C65" w14:textId="77777777" w:rsidR="0083044B" w:rsidRPr="00C9465B" w:rsidRDefault="0083044B" w:rsidP="00C9465B">
      <w:pPr>
        <w:pStyle w:val="FootnoteText"/>
        <w:spacing w:before="0"/>
        <w:rPr>
          <w:lang w:val="en-US"/>
        </w:rPr>
      </w:pPr>
      <w:r w:rsidRPr="00C9465B">
        <w:t xml:space="preserve">Study.’ In </w:t>
      </w:r>
      <w:r w:rsidRPr="00C9465B">
        <w:rPr>
          <w:i/>
          <w:iCs/>
        </w:rPr>
        <w:t>BMC Public Health</w:t>
      </w:r>
      <w:r w:rsidRPr="00C9465B">
        <w:t xml:space="preserve"> </w:t>
      </w:r>
      <w:r w:rsidRPr="00C9465B">
        <w:rPr>
          <w:bCs/>
        </w:rPr>
        <w:t>21</w:t>
      </w:r>
      <w:r w:rsidRPr="00C9465B">
        <w:t xml:space="preserve">, 357. </w:t>
      </w:r>
      <w:hyperlink r:id="rId11" w:history="1">
        <w:r w:rsidRPr="00C9465B">
          <w:rPr>
            <w:rStyle w:val="Hyperlink"/>
          </w:rPr>
          <w:t>https://doi.org/10.1186/s12889-021-10314-w</w:t>
        </w:r>
      </w:hyperlink>
    </w:p>
  </w:footnote>
  <w:footnote w:id="61">
    <w:p w14:paraId="15E1A578" w14:textId="77777777" w:rsidR="0083044B" w:rsidRPr="00C9465B" w:rsidRDefault="0083044B" w:rsidP="00C9465B">
      <w:pPr>
        <w:pStyle w:val="FootnoteText"/>
        <w:spacing w:before="0"/>
      </w:pPr>
      <w:r w:rsidRPr="00C9465B">
        <w:rPr>
          <w:rStyle w:val="FootnoteReference"/>
          <w:rFonts w:ascii="Times New Roman" w:hAnsi="Times New Roman" w:cs="Times New Roman"/>
          <w:sz w:val="20"/>
          <w:vertAlign w:val="baseline"/>
          <w:lang w:val="en-GB"/>
        </w:rPr>
        <w:footnoteRef/>
      </w:r>
      <w:r w:rsidRPr="00C9465B">
        <w:t xml:space="preserve">Oruka, H Odera, 1996. </w:t>
      </w:r>
      <w:r w:rsidRPr="00C9465B">
        <w:rPr>
          <w:b/>
        </w:rPr>
        <w:t>The Philosophy of Liberty: An Essay on Political Philosophy</w:t>
      </w:r>
      <w:r w:rsidRPr="00C9465B">
        <w:t xml:space="preserve">, 2nd ed. </w:t>
      </w:r>
    </w:p>
    <w:p w14:paraId="0C95979B" w14:textId="77777777" w:rsidR="0083044B" w:rsidRPr="00C9465B" w:rsidRDefault="0083044B" w:rsidP="00C9465B">
      <w:pPr>
        <w:pStyle w:val="FootnoteText"/>
        <w:spacing w:before="0"/>
      </w:pPr>
      <w:r w:rsidRPr="00C9465B">
        <w:t>Nairobi: Standard Textbooks Graphics and Publishing Company, p. 59-82</w:t>
      </w:r>
    </w:p>
  </w:footnote>
  <w:footnote w:id="62">
    <w:p w14:paraId="61E5D2D3" w14:textId="77777777" w:rsidR="0083044B" w:rsidRPr="00C9465B" w:rsidRDefault="0083044B" w:rsidP="00C9465B">
      <w:pPr>
        <w:pStyle w:val="FootnoteText"/>
        <w:spacing w:before="0"/>
      </w:pPr>
      <w:r w:rsidRPr="00C9465B">
        <w:rPr>
          <w:rStyle w:val="FootnoteReference"/>
          <w:rFonts w:ascii="Times New Roman" w:hAnsi="Times New Roman" w:cs="Times New Roman"/>
          <w:sz w:val="20"/>
          <w:lang w:val="en-GB"/>
        </w:rPr>
        <w:footnoteRef/>
      </w:r>
      <w:r w:rsidRPr="00C9465B">
        <w:t xml:space="preserve">Ibid.  </w:t>
      </w:r>
      <w:r>
        <w:t xml:space="preserve">p. </w:t>
      </w:r>
      <w:r w:rsidRPr="00C9465B">
        <w:t>60</w:t>
      </w:r>
    </w:p>
  </w:footnote>
  <w:footnote w:id="63">
    <w:p w14:paraId="48D5C75D" w14:textId="77777777" w:rsidR="0083044B" w:rsidRPr="00C9465B" w:rsidRDefault="0083044B" w:rsidP="00C9465B">
      <w:pPr>
        <w:pStyle w:val="FootnoteText"/>
        <w:spacing w:before="0"/>
      </w:pPr>
      <w:r w:rsidRPr="00C9465B">
        <w:rPr>
          <w:rStyle w:val="FootnoteReference"/>
          <w:rFonts w:ascii="Times New Roman" w:hAnsi="Times New Roman" w:cs="Times New Roman"/>
          <w:sz w:val="20"/>
        </w:rPr>
        <w:footnoteRef/>
      </w:r>
      <w:r>
        <w:t xml:space="preserve">Ibid. p. </w:t>
      </w:r>
      <w:r w:rsidRPr="00C9465B">
        <w:t>62</w:t>
      </w:r>
    </w:p>
  </w:footnote>
  <w:footnote w:id="64">
    <w:p w14:paraId="4C4E050A" w14:textId="77777777" w:rsidR="0083044B" w:rsidRPr="00CE2E77" w:rsidRDefault="0083044B" w:rsidP="00CE2E77">
      <w:pPr>
        <w:pStyle w:val="FootnoteText"/>
        <w:spacing w:before="0"/>
      </w:pPr>
      <w:r w:rsidRPr="00CE2E77">
        <w:rPr>
          <w:rStyle w:val="FootnoteReference"/>
          <w:rFonts w:ascii="Times New Roman" w:hAnsi="Times New Roman" w:cs="Times New Roman"/>
          <w:sz w:val="20"/>
        </w:rPr>
        <w:footnoteRef/>
      </w:r>
      <w:r w:rsidRPr="00CE2E77">
        <w:t xml:space="preserve">Ibid </w:t>
      </w:r>
      <w:r>
        <w:t xml:space="preserve">p. </w:t>
      </w:r>
      <w:r w:rsidRPr="00CE2E77">
        <w:t>62</w:t>
      </w:r>
      <w:r>
        <w:t>.</w:t>
      </w:r>
    </w:p>
  </w:footnote>
  <w:footnote w:id="65">
    <w:p w14:paraId="68242AB2" w14:textId="27CC0051" w:rsidR="0083044B" w:rsidRPr="00CE2E77" w:rsidRDefault="0083044B" w:rsidP="00CE2E77">
      <w:pPr>
        <w:pStyle w:val="FootnoteText"/>
        <w:spacing w:before="0"/>
        <w:rPr>
          <w:lang w:val="en-US"/>
        </w:rPr>
      </w:pPr>
      <w:r w:rsidRPr="00CE2E77">
        <w:rPr>
          <w:rStyle w:val="FootnoteReference"/>
          <w:rFonts w:ascii="Times New Roman" w:hAnsi="Times New Roman" w:cs="Times New Roman"/>
          <w:sz w:val="20"/>
        </w:rPr>
        <w:footnoteRef/>
      </w:r>
      <w:r w:rsidRPr="00CE2E77">
        <w:t xml:space="preserve"> </w:t>
      </w:r>
      <w:r w:rsidR="00F01930">
        <w:t xml:space="preserve">GoK, 2010. </w:t>
      </w:r>
      <w:r w:rsidR="00F01930" w:rsidRPr="00513168">
        <w:rPr>
          <w:b/>
        </w:rPr>
        <w:t>Constitution of Kenya</w:t>
      </w:r>
      <w:r w:rsidR="00F01930">
        <w:t xml:space="preserve">. </w:t>
      </w:r>
      <w:r w:rsidR="005E78F1">
        <w:t>A</w:t>
      </w:r>
      <w:r w:rsidRPr="00CE2E77">
        <w:rPr>
          <w:lang w:val="en-US"/>
        </w:rPr>
        <w:t>rt. 27(4)</w:t>
      </w:r>
      <w:r>
        <w:rPr>
          <w:lang w:val="en-US"/>
        </w:rPr>
        <w:t>.</w:t>
      </w:r>
    </w:p>
  </w:footnote>
  <w:footnote w:id="66">
    <w:p w14:paraId="4E86D53E" w14:textId="77777777" w:rsidR="0083044B" w:rsidRPr="00CE2E77" w:rsidRDefault="0083044B" w:rsidP="00CE2E77">
      <w:pPr>
        <w:pStyle w:val="FootnoteText"/>
        <w:spacing w:before="0"/>
        <w:rPr>
          <w:lang w:val="en-US"/>
        </w:rPr>
      </w:pPr>
      <w:r w:rsidRPr="00CE2E77">
        <w:rPr>
          <w:rStyle w:val="FootnoteReference"/>
          <w:rFonts w:ascii="Times New Roman" w:hAnsi="Times New Roman" w:cs="Times New Roman"/>
          <w:sz w:val="20"/>
        </w:rPr>
        <w:footnoteRef/>
      </w:r>
      <w:r w:rsidRPr="00CE2E77">
        <w:t xml:space="preserve"> </w:t>
      </w:r>
      <w:r w:rsidRPr="00CE2E77">
        <w:rPr>
          <w:lang w:val="en-US"/>
        </w:rPr>
        <w:t>See Oruka, 1996. Op</w:t>
      </w:r>
      <w:r>
        <w:rPr>
          <w:lang w:val="en-US"/>
        </w:rPr>
        <w:t>.</w:t>
      </w:r>
      <w:r w:rsidRPr="00CE2E77">
        <w:rPr>
          <w:lang w:val="en-US"/>
        </w:rPr>
        <w:t xml:space="preserve"> Cit. p. 62</w:t>
      </w:r>
      <w:r>
        <w:rPr>
          <w:lang w:val="en-US"/>
        </w:rPr>
        <w:t>.</w:t>
      </w:r>
    </w:p>
  </w:footnote>
  <w:footnote w:id="67">
    <w:p w14:paraId="25AF788D" w14:textId="6F23B259" w:rsidR="0083044B" w:rsidRPr="00CE2E77" w:rsidRDefault="0083044B" w:rsidP="008E4D64">
      <w:pPr>
        <w:pStyle w:val="FootnoteText"/>
        <w:spacing w:before="0"/>
        <w:rPr>
          <w:lang w:val="en-US"/>
        </w:rPr>
      </w:pPr>
      <w:r w:rsidRPr="00CE2E77">
        <w:rPr>
          <w:rStyle w:val="FootnoteReference"/>
          <w:rFonts w:ascii="Times New Roman" w:hAnsi="Times New Roman" w:cs="Times New Roman"/>
          <w:sz w:val="20"/>
        </w:rPr>
        <w:footnoteRef/>
      </w:r>
      <w:r w:rsidRPr="00CE2E77">
        <w:t>GoK, 2010</w:t>
      </w:r>
      <w:r w:rsidRPr="00513168">
        <w:rPr>
          <w:b/>
        </w:rPr>
        <w:t>. Constitution of Kenya</w:t>
      </w:r>
      <w:r w:rsidR="005E78F1">
        <w:t>. A</w:t>
      </w:r>
      <w:r w:rsidRPr="00CE2E77">
        <w:rPr>
          <w:lang w:val="en-US"/>
        </w:rPr>
        <w:t>rt. 2(1)</w:t>
      </w:r>
      <w:r>
        <w:rPr>
          <w:lang w:val="en-US"/>
        </w:rPr>
        <w:t>.</w:t>
      </w:r>
    </w:p>
  </w:footnote>
  <w:footnote w:id="68">
    <w:p w14:paraId="57B08892" w14:textId="77777777" w:rsidR="0083044B" w:rsidRPr="00CE2E77" w:rsidRDefault="0083044B" w:rsidP="008E4D64">
      <w:pPr>
        <w:pStyle w:val="FootnoteText"/>
        <w:spacing w:before="0"/>
        <w:rPr>
          <w:lang w:val="en-US"/>
        </w:rPr>
      </w:pPr>
      <w:r w:rsidRPr="00CE2E77">
        <w:rPr>
          <w:rStyle w:val="FootnoteReference"/>
          <w:rFonts w:ascii="Times New Roman" w:hAnsi="Times New Roman" w:cs="Times New Roman"/>
          <w:sz w:val="20"/>
        </w:rPr>
        <w:footnoteRef/>
      </w:r>
      <w:r w:rsidRPr="00CE2E77">
        <w:t xml:space="preserve">Ibid. </w:t>
      </w:r>
      <w:r w:rsidRPr="00CE2E77">
        <w:rPr>
          <w:lang w:val="en-US"/>
        </w:rPr>
        <w:t>art</w:t>
      </w:r>
      <w:r>
        <w:rPr>
          <w:lang w:val="en-US"/>
        </w:rPr>
        <w:t>.</w:t>
      </w:r>
      <w:r w:rsidRPr="00CE2E77">
        <w:rPr>
          <w:lang w:val="en-US"/>
        </w:rPr>
        <w:t xml:space="preserve"> (4).</w:t>
      </w:r>
    </w:p>
  </w:footnote>
  <w:footnote w:id="69">
    <w:p w14:paraId="2A743097" w14:textId="77777777" w:rsidR="0083044B" w:rsidRPr="00CE2E77" w:rsidRDefault="0083044B" w:rsidP="008E4D64">
      <w:pPr>
        <w:pStyle w:val="FootnoteText"/>
        <w:spacing w:before="0"/>
        <w:rPr>
          <w:lang w:val="en-US"/>
        </w:rPr>
      </w:pPr>
      <w:r w:rsidRPr="00CE2E77">
        <w:rPr>
          <w:rStyle w:val="FootnoteReference"/>
          <w:rFonts w:ascii="Times New Roman" w:hAnsi="Times New Roman" w:cs="Times New Roman"/>
          <w:sz w:val="20"/>
        </w:rPr>
        <w:footnoteRef/>
      </w:r>
      <w:r w:rsidRPr="00CE2E77">
        <w:t xml:space="preserve">Ibid. </w:t>
      </w:r>
      <w:r w:rsidRPr="00CE2E77">
        <w:rPr>
          <w:lang w:val="en-US"/>
        </w:rPr>
        <w:t>art. 10</w:t>
      </w:r>
      <w:r>
        <w:rPr>
          <w:lang w:val="en-US"/>
        </w:rPr>
        <w:t>.</w:t>
      </w:r>
    </w:p>
  </w:footnote>
  <w:footnote w:id="70">
    <w:p w14:paraId="4678EBBE" w14:textId="77777777" w:rsidR="0083044B" w:rsidRPr="00CE2E77" w:rsidRDefault="0083044B" w:rsidP="008E4D64">
      <w:pPr>
        <w:pStyle w:val="FootnoteText"/>
        <w:spacing w:before="0"/>
        <w:rPr>
          <w:lang w:val="en-US"/>
        </w:rPr>
      </w:pPr>
      <w:r w:rsidRPr="00CE2E77">
        <w:rPr>
          <w:rStyle w:val="FootnoteReference"/>
          <w:rFonts w:ascii="Times New Roman" w:hAnsi="Times New Roman" w:cs="Times New Roman"/>
          <w:sz w:val="20"/>
        </w:rPr>
        <w:footnoteRef/>
      </w:r>
      <w:r w:rsidRPr="00CE2E77">
        <w:rPr>
          <w:lang w:val="en-US"/>
        </w:rPr>
        <w:t>Ibid art. 259</w:t>
      </w:r>
      <w:r>
        <w:rPr>
          <w:lang w:val="en-US"/>
        </w:rPr>
        <w:t>.</w:t>
      </w:r>
    </w:p>
  </w:footnote>
  <w:footnote w:id="71">
    <w:p w14:paraId="27F8BE87" w14:textId="77777777" w:rsidR="0083044B" w:rsidRPr="00CE2E77" w:rsidRDefault="0083044B" w:rsidP="008E4D64">
      <w:pPr>
        <w:pStyle w:val="FootnoteText"/>
        <w:spacing w:before="0"/>
        <w:rPr>
          <w:lang w:val="en-US"/>
        </w:rPr>
      </w:pPr>
      <w:r w:rsidRPr="00CE2E77">
        <w:rPr>
          <w:rStyle w:val="FootnoteReference"/>
          <w:rFonts w:ascii="Times New Roman" w:hAnsi="Times New Roman" w:cs="Times New Roman"/>
          <w:sz w:val="20"/>
        </w:rPr>
        <w:footnoteRef/>
      </w:r>
      <w:r w:rsidRPr="00CE2E77">
        <w:t xml:space="preserve">Ibid. </w:t>
      </w:r>
      <w:r w:rsidRPr="00CE2E77">
        <w:rPr>
          <w:lang w:val="en-US"/>
        </w:rPr>
        <w:t>Chapter 6.</w:t>
      </w:r>
    </w:p>
  </w:footnote>
  <w:footnote w:id="72">
    <w:p w14:paraId="0CB2071B" w14:textId="77777777" w:rsidR="0083044B" w:rsidRPr="00CE2E77" w:rsidRDefault="0083044B" w:rsidP="008E4D64">
      <w:pPr>
        <w:pStyle w:val="FootnoteText"/>
        <w:spacing w:before="0"/>
        <w:rPr>
          <w:lang w:val="en-US"/>
        </w:rPr>
      </w:pPr>
      <w:r w:rsidRPr="00CE2E77">
        <w:rPr>
          <w:rStyle w:val="FootnoteReference"/>
          <w:rFonts w:ascii="Times New Roman" w:hAnsi="Times New Roman" w:cs="Times New Roman"/>
          <w:sz w:val="20"/>
        </w:rPr>
        <w:footnoteRef/>
      </w:r>
      <w:r w:rsidRPr="00CE2E77">
        <w:rPr>
          <w:lang w:val="en-US"/>
        </w:rPr>
        <w:t>Ibid art. 232</w:t>
      </w:r>
      <w:r>
        <w:rPr>
          <w:lang w:val="en-US"/>
        </w:rPr>
        <w:t>.</w:t>
      </w:r>
    </w:p>
  </w:footnote>
  <w:footnote w:id="73">
    <w:p w14:paraId="24C743EB" w14:textId="77777777" w:rsidR="0083044B" w:rsidRPr="00CE2E77" w:rsidRDefault="0083044B" w:rsidP="008E4D64">
      <w:pPr>
        <w:pStyle w:val="FootnoteText"/>
        <w:spacing w:before="0"/>
        <w:rPr>
          <w:lang w:val="en-US"/>
        </w:rPr>
      </w:pPr>
      <w:r w:rsidRPr="00CE2E77">
        <w:rPr>
          <w:rStyle w:val="FootnoteReference"/>
          <w:rFonts w:ascii="Times New Roman" w:hAnsi="Times New Roman" w:cs="Times New Roman"/>
          <w:sz w:val="20"/>
        </w:rPr>
        <w:footnoteRef/>
      </w:r>
      <w:r w:rsidRPr="00CE2E77">
        <w:rPr>
          <w:lang w:val="en-US"/>
        </w:rPr>
        <w:t>Ibid. art. 159</w:t>
      </w:r>
      <w:r>
        <w:rPr>
          <w:lang w:val="en-US"/>
        </w:rPr>
        <w:t>.</w:t>
      </w:r>
    </w:p>
  </w:footnote>
  <w:footnote w:id="74">
    <w:p w14:paraId="0B854F30" w14:textId="77777777" w:rsidR="0083044B" w:rsidRPr="00CE2E77" w:rsidRDefault="0083044B" w:rsidP="008E4D64">
      <w:pPr>
        <w:pStyle w:val="FootnoteText"/>
        <w:spacing w:before="0"/>
        <w:rPr>
          <w:lang w:val="en-US"/>
        </w:rPr>
      </w:pPr>
      <w:r w:rsidRPr="00CE2E77">
        <w:rPr>
          <w:rStyle w:val="FootnoteReference"/>
          <w:rFonts w:ascii="Times New Roman" w:hAnsi="Times New Roman" w:cs="Times New Roman"/>
          <w:sz w:val="20"/>
        </w:rPr>
        <w:footnoteRef/>
      </w:r>
      <w:r w:rsidRPr="00CE2E77">
        <w:rPr>
          <w:lang w:val="en-US"/>
        </w:rPr>
        <w:t>Ibid. 160</w:t>
      </w:r>
      <w:r>
        <w:rPr>
          <w:lang w:val="en-US"/>
        </w:rPr>
        <w:t>.</w:t>
      </w:r>
    </w:p>
  </w:footnote>
  <w:footnote w:id="75">
    <w:p w14:paraId="143B9C7D" w14:textId="77777777" w:rsidR="0083044B" w:rsidRPr="00582FE7" w:rsidRDefault="0083044B" w:rsidP="008E4D64">
      <w:pPr>
        <w:pStyle w:val="FootnoteText"/>
        <w:spacing w:before="0"/>
        <w:rPr>
          <w:lang w:val="en-US"/>
        </w:rPr>
      </w:pPr>
      <w:r w:rsidRPr="00CE2E77">
        <w:rPr>
          <w:rStyle w:val="FootnoteReference"/>
          <w:rFonts w:ascii="Times New Roman" w:hAnsi="Times New Roman" w:cs="Times New Roman"/>
          <w:sz w:val="20"/>
        </w:rPr>
        <w:footnoteRef/>
      </w:r>
      <w:r w:rsidRPr="00CE2E77">
        <w:rPr>
          <w:lang w:val="en-US"/>
        </w:rPr>
        <w:t>Ibid. art.</w:t>
      </w:r>
      <w:r>
        <w:rPr>
          <w:lang w:val="en-US"/>
        </w:rPr>
        <w:t xml:space="preserve"> 1.</w:t>
      </w:r>
    </w:p>
  </w:footnote>
  <w:footnote w:id="76">
    <w:p w14:paraId="4DEF15CA" w14:textId="77777777" w:rsidR="0083044B" w:rsidRPr="00ED0F0E" w:rsidRDefault="0083044B" w:rsidP="008E4D64">
      <w:pPr>
        <w:pStyle w:val="FootnoteText"/>
        <w:spacing w:before="0"/>
        <w:rPr>
          <w:lang w:val="en-US"/>
        </w:rPr>
      </w:pPr>
      <w:r w:rsidRPr="00ED0F0E">
        <w:rPr>
          <w:rStyle w:val="FootnoteReference"/>
          <w:rFonts w:ascii="Times New Roman" w:hAnsi="Times New Roman" w:cs="Times New Roman"/>
          <w:sz w:val="20"/>
        </w:rPr>
        <w:footnoteRef/>
      </w:r>
      <w:r w:rsidRPr="00ED0F0E">
        <w:t xml:space="preserve">Kenya Law Report. </w:t>
      </w:r>
      <w:r w:rsidRPr="00ED0F0E">
        <w:rPr>
          <w:lang w:val="en-US"/>
        </w:rPr>
        <w:t xml:space="preserve">Judgment </w:t>
      </w:r>
      <w:r w:rsidRPr="00ED0F0E">
        <w:rPr>
          <w:b/>
          <w:lang w:val="en-US"/>
        </w:rPr>
        <w:t xml:space="preserve">in </w:t>
      </w:r>
      <w:r w:rsidRPr="00ED0F0E">
        <w:rPr>
          <w:b/>
        </w:rPr>
        <w:t>Petition   No. 150</w:t>
      </w:r>
      <w:r w:rsidRPr="00ED0F0E">
        <w:t xml:space="preserve"> of 2016, para. 288. </w:t>
      </w:r>
    </w:p>
  </w:footnote>
  <w:footnote w:id="77">
    <w:p w14:paraId="5FF33798" w14:textId="77777777" w:rsidR="0083044B" w:rsidRPr="00ED0F0E" w:rsidRDefault="0083044B" w:rsidP="008B1DD2">
      <w:pPr>
        <w:pStyle w:val="FootnoteText"/>
        <w:spacing w:before="0"/>
      </w:pPr>
      <w:r w:rsidRPr="00ED0F0E">
        <w:rPr>
          <w:rStyle w:val="FootnoteReference"/>
          <w:rFonts w:ascii="Times New Roman" w:hAnsi="Times New Roman" w:cs="Times New Roman"/>
          <w:sz w:val="20"/>
        </w:rPr>
        <w:footnoteRef/>
      </w:r>
      <w:r w:rsidRPr="00ED0F0E">
        <w:t xml:space="preserve"> </w:t>
      </w:r>
      <w:r w:rsidRPr="00ED0F0E">
        <w:rPr>
          <w:lang w:val="en-US"/>
        </w:rPr>
        <w:t xml:space="preserve">See </w:t>
      </w:r>
      <w:r w:rsidRPr="00ED0F0E">
        <w:t xml:space="preserve">Plato, 1925. ‘Minos 313 a.’ In </w:t>
      </w:r>
      <w:r w:rsidRPr="00ED0F0E">
        <w:rPr>
          <w:b/>
        </w:rPr>
        <w:t>Plato in Twelve Volumes</w:t>
      </w:r>
      <w:r w:rsidRPr="00ED0F0E">
        <w:t>, Vol. 9 translated by W.R.M. Lamb.</w:t>
      </w:r>
    </w:p>
    <w:p w14:paraId="4680C945" w14:textId="62725BFF" w:rsidR="0083044B" w:rsidRPr="00ED0F0E" w:rsidRDefault="0083044B" w:rsidP="00ED0F0E">
      <w:pPr>
        <w:pStyle w:val="FootnoteText"/>
        <w:spacing w:before="0"/>
        <w:rPr>
          <w:lang w:val="en-US"/>
        </w:rPr>
      </w:pPr>
      <w:r w:rsidRPr="00ED0F0E">
        <w:t xml:space="preserve">Cambridge, MA, Harvard University Press; London, William Heinemann Ltd. </w:t>
      </w:r>
    </w:p>
  </w:footnote>
  <w:footnote w:id="78">
    <w:p w14:paraId="41131F8A" w14:textId="3172F18C" w:rsidR="0083044B" w:rsidRPr="00ED0F0E" w:rsidRDefault="0083044B" w:rsidP="008B1DD2">
      <w:pPr>
        <w:pStyle w:val="FootnoteText"/>
        <w:spacing w:before="0"/>
        <w:rPr>
          <w:lang w:val="en-US"/>
        </w:rPr>
      </w:pPr>
      <w:r w:rsidRPr="00ED0F0E">
        <w:rPr>
          <w:rStyle w:val="FootnoteReference"/>
          <w:rFonts w:ascii="Times New Roman" w:hAnsi="Times New Roman" w:cs="Times New Roman"/>
          <w:sz w:val="20"/>
        </w:rPr>
        <w:footnoteRef/>
      </w:r>
      <w:r w:rsidRPr="00ED0F0E">
        <w:t xml:space="preserve">Ibid. </w:t>
      </w:r>
    </w:p>
  </w:footnote>
  <w:footnote w:id="79">
    <w:p w14:paraId="15ADCC40" w14:textId="77777777" w:rsidR="0083044B" w:rsidRPr="00ED0F0E" w:rsidRDefault="0083044B" w:rsidP="008E4D64">
      <w:pPr>
        <w:pStyle w:val="FootnoteText"/>
        <w:spacing w:before="0"/>
        <w:rPr>
          <w:spacing w:val="-5"/>
        </w:rPr>
      </w:pPr>
      <w:r w:rsidRPr="00ED0F0E">
        <w:rPr>
          <w:rStyle w:val="FootnoteReference"/>
          <w:rFonts w:ascii="Times New Roman" w:hAnsi="Times New Roman" w:cs="Times New Roman"/>
          <w:sz w:val="20"/>
        </w:rPr>
        <w:footnoteRef/>
      </w:r>
      <w:r w:rsidRPr="00ED0F0E">
        <w:rPr>
          <w:spacing w:val="-1"/>
        </w:rPr>
        <w:t>I</w:t>
      </w:r>
      <w:r w:rsidRPr="00ED0F0E">
        <w:rPr>
          <w:spacing w:val="1"/>
        </w:rPr>
        <w:t>m</w:t>
      </w:r>
      <w:r w:rsidRPr="00ED0F0E">
        <w:rPr>
          <w:spacing w:val="-1"/>
        </w:rPr>
        <w:t>m</w:t>
      </w:r>
      <w:r w:rsidRPr="00ED0F0E">
        <w:t>a</w:t>
      </w:r>
      <w:r w:rsidRPr="00ED0F0E">
        <w:rPr>
          <w:spacing w:val="1"/>
        </w:rPr>
        <w:t>nu</w:t>
      </w:r>
      <w:r w:rsidRPr="00ED0F0E">
        <w:t>el</w:t>
      </w:r>
      <w:r w:rsidRPr="00ED0F0E">
        <w:rPr>
          <w:spacing w:val="-6"/>
        </w:rPr>
        <w:t xml:space="preserve"> </w:t>
      </w:r>
      <w:r w:rsidRPr="00ED0F0E">
        <w:rPr>
          <w:spacing w:val="-2"/>
        </w:rPr>
        <w:t>K</w:t>
      </w:r>
      <w:r w:rsidRPr="00ED0F0E">
        <w:t>a</w:t>
      </w:r>
      <w:r w:rsidRPr="00ED0F0E">
        <w:rPr>
          <w:spacing w:val="1"/>
        </w:rPr>
        <w:t>n</w:t>
      </w:r>
      <w:r w:rsidRPr="00ED0F0E">
        <w:t>t</w:t>
      </w:r>
      <w:r w:rsidRPr="00ED0F0E">
        <w:rPr>
          <w:spacing w:val="-3"/>
        </w:rPr>
        <w:t>, 1</w:t>
      </w:r>
      <w:r w:rsidRPr="00ED0F0E">
        <w:rPr>
          <w:spacing w:val="1"/>
        </w:rPr>
        <w:t>952</w:t>
      </w:r>
      <w:r w:rsidRPr="00ED0F0E">
        <w:t>.</w:t>
      </w:r>
      <w:r w:rsidRPr="00ED0F0E">
        <w:rPr>
          <w:spacing w:val="-5"/>
        </w:rPr>
        <w:t xml:space="preserve"> </w:t>
      </w:r>
      <w:r w:rsidRPr="00ED0F0E">
        <w:rPr>
          <w:b/>
          <w:spacing w:val="-3"/>
        </w:rPr>
        <w:t>T</w:t>
      </w:r>
      <w:r w:rsidRPr="00ED0F0E">
        <w:rPr>
          <w:b/>
          <w:spacing w:val="1"/>
        </w:rPr>
        <w:t>h</w:t>
      </w:r>
      <w:r w:rsidRPr="00ED0F0E">
        <w:rPr>
          <w:b/>
        </w:rPr>
        <w:t>e</w:t>
      </w:r>
      <w:r w:rsidRPr="00ED0F0E">
        <w:rPr>
          <w:b/>
          <w:spacing w:val="-2"/>
        </w:rPr>
        <w:t xml:space="preserve"> </w:t>
      </w:r>
      <w:r w:rsidRPr="00ED0F0E">
        <w:rPr>
          <w:b/>
          <w:spacing w:val="1"/>
        </w:rPr>
        <w:t>C</w:t>
      </w:r>
      <w:r w:rsidRPr="00ED0F0E">
        <w:rPr>
          <w:b/>
          <w:spacing w:val="-1"/>
        </w:rPr>
        <w:t>r</w:t>
      </w:r>
      <w:r w:rsidRPr="00ED0F0E">
        <w:rPr>
          <w:b/>
        </w:rPr>
        <w:t>iti</w:t>
      </w:r>
      <w:r w:rsidRPr="00ED0F0E">
        <w:rPr>
          <w:b/>
          <w:spacing w:val="1"/>
        </w:rPr>
        <w:t>qu</w:t>
      </w:r>
      <w:r w:rsidRPr="00ED0F0E">
        <w:rPr>
          <w:b/>
        </w:rPr>
        <w:t>e</w:t>
      </w:r>
      <w:r w:rsidRPr="00ED0F0E">
        <w:rPr>
          <w:b/>
          <w:spacing w:val="-3"/>
        </w:rPr>
        <w:t xml:space="preserve"> </w:t>
      </w:r>
      <w:r w:rsidRPr="00ED0F0E">
        <w:rPr>
          <w:b/>
          <w:spacing w:val="-1"/>
        </w:rPr>
        <w:t>o</w:t>
      </w:r>
      <w:r w:rsidRPr="00ED0F0E">
        <w:rPr>
          <w:b/>
        </w:rPr>
        <w:t>f Pr</w:t>
      </w:r>
      <w:r w:rsidRPr="00ED0F0E">
        <w:rPr>
          <w:b/>
          <w:spacing w:val="-1"/>
        </w:rPr>
        <w:t>a</w:t>
      </w:r>
      <w:r w:rsidRPr="00ED0F0E">
        <w:rPr>
          <w:b/>
        </w:rPr>
        <w:t>ctical</w:t>
      </w:r>
      <w:r w:rsidRPr="00ED0F0E">
        <w:rPr>
          <w:b/>
          <w:spacing w:val="-3"/>
        </w:rPr>
        <w:t xml:space="preserve"> </w:t>
      </w:r>
      <w:r w:rsidRPr="00ED0F0E">
        <w:rPr>
          <w:b/>
          <w:spacing w:val="1"/>
        </w:rPr>
        <w:t>R</w:t>
      </w:r>
      <w:r w:rsidRPr="00ED0F0E">
        <w:rPr>
          <w:b/>
        </w:rPr>
        <w:t>eas</w:t>
      </w:r>
      <w:r w:rsidRPr="00ED0F0E">
        <w:rPr>
          <w:b/>
          <w:spacing w:val="1"/>
        </w:rPr>
        <w:t>o</w:t>
      </w:r>
      <w:r w:rsidRPr="00ED0F0E">
        <w:rPr>
          <w:b/>
          <w:spacing w:val="-1"/>
        </w:rPr>
        <w:t>n</w:t>
      </w:r>
      <w:r w:rsidRPr="00ED0F0E">
        <w:t>.</w:t>
      </w:r>
      <w:r w:rsidRPr="00ED0F0E">
        <w:rPr>
          <w:spacing w:val="-5"/>
        </w:rPr>
        <w:t xml:space="preserve"> </w:t>
      </w:r>
      <w:r w:rsidRPr="00ED0F0E">
        <w:rPr>
          <w:spacing w:val="1"/>
        </w:rPr>
        <w:t>Ch</w:t>
      </w:r>
      <w:r w:rsidRPr="00ED0F0E">
        <w:t>ic</w:t>
      </w:r>
      <w:r w:rsidRPr="00ED0F0E">
        <w:rPr>
          <w:spacing w:val="-3"/>
        </w:rPr>
        <w:t>a</w:t>
      </w:r>
      <w:r w:rsidRPr="00ED0F0E">
        <w:rPr>
          <w:spacing w:val="-1"/>
        </w:rPr>
        <w:t>g</w:t>
      </w:r>
      <w:r w:rsidRPr="00ED0F0E">
        <w:rPr>
          <w:spacing w:val="1"/>
        </w:rPr>
        <w:t>o</w:t>
      </w:r>
      <w:r w:rsidRPr="00ED0F0E">
        <w:t>:</w:t>
      </w:r>
      <w:r w:rsidRPr="00ED0F0E">
        <w:rPr>
          <w:spacing w:val="2"/>
        </w:rPr>
        <w:t xml:space="preserve"> </w:t>
      </w:r>
      <w:r w:rsidRPr="00ED0F0E">
        <w:rPr>
          <w:spacing w:val="-3"/>
        </w:rPr>
        <w:t>T</w:t>
      </w:r>
      <w:r w:rsidRPr="00ED0F0E">
        <w:rPr>
          <w:spacing w:val="1"/>
        </w:rPr>
        <w:t>h</w:t>
      </w:r>
      <w:r w:rsidRPr="00ED0F0E">
        <w:t>e</w:t>
      </w:r>
      <w:r w:rsidRPr="00ED0F0E">
        <w:rPr>
          <w:spacing w:val="-2"/>
        </w:rPr>
        <w:t xml:space="preserve"> </w:t>
      </w:r>
      <w:r w:rsidRPr="00ED0F0E">
        <w:t>U</w:t>
      </w:r>
      <w:r w:rsidRPr="00ED0F0E">
        <w:rPr>
          <w:spacing w:val="1"/>
        </w:rPr>
        <w:t>n</w:t>
      </w:r>
      <w:r w:rsidRPr="00ED0F0E">
        <w:t>i</w:t>
      </w:r>
      <w:r w:rsidRPr="00ED0F0E">
        <w:rPr>
          <w:spacing w:val="-1"/>
        </w:rPr>
        <w:t>v</w:t>
      </w:r>
      <w:r w:rsidRPr="00ED0F0E">
        <w:rPr>
          <w:spacing w:val="2"/>
        </w:rPr>
        <w:t>e</w:t>
      </w:r>
      <w:r w:rsidRPr="00ED0F0E">
        <w:rPr>
          <w:spacing w:val="-1"/>
        </w:rPr>
        <w:t>r</w:t>
      </w:r>
      <w:r w:rsidRPr="00ED0F0E">
        <w:t>si</w:t>
      </w:r>
      <w:r w:rsidRPr="00ED0F0E">
        <w:rPr>
          <w:spacing w:val="2"/>
        </w:rPr>
        <w:t>t</w:t>
      </w:r>
      <w:r w:rsidRPr="00ED0F0E">
        <w:t>y</w:t>
      </w:r>
      <w:r w:rsidRPr="00ED0F0E">
        <w:rPr>
          <w:spacing w:val="-9"/>
        </w:rPr>
        <w:t xml:space="preserve"> </w:t>
      </w:r>
      <w:r w:rsidRPr="00ED0F0E">
        <w:rPr>
          <w:spacing w:val="1"/>
        </w:rPr>
        <w:t>o</w:t>
      </w:r>
      <w:r w:rsidRPr="00ED0F0E">
        <w:t xml:space="preserve">f </w:t>
      </w:r>
      <w:r w:rsidRPr="00ED0F0E">
        <w:rPr>
          <w:spacing w:val="-2"/>
        </w:rPr>
        <w:t>C</w:t>
      </w:r>
      <w:r w:rsidRPr="00ED0F0E">
        <w:rPr>
          <w:spacing w:val="1"/>
        </w:rPr>
        <w:t>h</w:t>
      </w:r>
      <w:r w:rsidRPr="00ED0F0E">
        <w:t>ica</w:t>
      </w:r>
      <w:r w:rsidRPr="00ED0F0E">
        <w:rPr>
          <w:spacing w:val="-2"/>
        </w:rPr>
        <w:t>g</w:t>
      </w:r>
      <w:r w:rsidRPr="00ED0F0E">
        <w:t>o</w:t>
      </w:r>
    </w:p>
    <w:p w14:paraId="478161EE" w14:textId="77777777" w:rsidR="0083044B" w:rsidRPr="00ED0F0E" w:rsidRDefault="0083044B" w:rsidP="008E4D64">
      <w:pPr>
        <w:pStyle w:val="FootnoteText"/>
        <w:spacing w:before="0"/>
        <w:rPr>
          <w:lang w:val="en-US"/>
        </w:rPr>
      </w:pPr>
      <w:r w:rsidRPr="00ED0F0E">
        <w:t>Pr</w:t>
      </w:r>
      <w:r w:rsidRPr="00ED0F0E">
        <w:rPr>
          <w:spacing w:val="-1"/>
        </w:rPr>
        <w:t>e</w:t>
      </w:r>
      <w:r w:rsidRPr="00ED0F0E">
        <w:t xml:space="preserve">ss, p 421. </w:t>
      </w:r>
    </w:p>
  </w:footnote>
  <w:footnote w:id="80">
    <w:p w14:paraId="4996C785" w14:textId="77777777" w:rsidR="0083044B" w:rsidRPr="00ED0F0E" w:rsidRDefault="0083044B" w:rsidP="008E4D64">
      <w:pPr>
        <w:pStyle w:val="FootnoteText"/>
        <w:spacing w:before="0"/>
        <w:rPr>
          <w:lang w:val="en-US"/>
        </w:rPr>
      </w:pPr>
      <w:r w:rsidRPr="00ED0F0E">
        <w:rPr>
          <w:rStyle w:val="FootnoteReference"/>
          <w:rFonts w:ascii="Times New Roman" w:hAnsi="Times New Roman" w:cs="Times New Roman"/>
          <w:sz w:val="20"/>
        </w:rPr>
        <w:footnoteRef/>
      </w:r>
      <w:r w:rsidRPr="00ED0F0E">
        <w:rPr>
          <w:lang w:val="en-US"/>
        </w:rPr>
        <w:t xml:space="preserve">Ibid p. 429. </w:t>
      </w:r>
    </w:p>
  </w:footnote>
  <w:footnote w:id="81">
    <w:p w14:paraId="1F25D81B" w14:textId="16007119" w:rsidR="0083044B" w:rsidRPr="008E7710" w:rsidRDefault="0083044B">
      <w:pPr>
        <w:pStyle w:val="FootnoteText"/>
        <w:rPr>
          <w:lang w:val="en-US"/>
        </w:rPr>
      </w:pPr>
      <w:r>
        <w:rPr>
          <w:rStyle w:val="FootnoteReference"/>
        </w:rPr>
        <w:footnoteRef/>
      </w:r>
      <w:r>
        <w:rPr>
          <w:lang w:val="en-US"/>
        </w:rPr>
        <w:t xml:space="preserve">See UN, 1948. UDHR. </w:t>
      </w:r>
    </w:p>
  </w:footnote>
  <w:footnote w:id="82">
    <w:p w14:paraId="38710DE9" w14:textId="7C200C2B" w:rsidR="0083044B" w:rsidRPr="00774F2C" w:rsidRDefault="0083044B" w:rsidP="00774F2C">
      <w:pPr>
        <w:pStyle w:val="FootnoteText"/>
        <w:spacing w:before="0"/>
        <w:rPr>
          <w:lang w:val="en-US"/>
        </w:rPr>
      </w:pPr>
      <w:r w:rsidRPr="00774F2C">
        <w:rPr>
          <w:rStyle w:val="FootnoteReference"/>
          <w:rFonts w:ascii="Times New Roman" w:hAnsi="Times New Roman" w:cs="Times New Roman"/>
          <w:sz w:val="20"/>
        </w:rPr>
        <w:footnoteRef/>
      </w:r>
      <w:r>
        <w:rPr>
          <w:lang w:val="en-US"/>
        </w:rPr>
        <w:t xml:space="preserve">Ibid. </w:t>
      </w:r>
      <w:r w:rsidRPr="00774F2C">
        <w:rPr>
          <w:lang w:val="en-US"/>
        </w:rPr>
        <w:t>Preamble, articles, 1 &amp; 2 among others</w:t>
      </w:r>
    </w:p>
  </w:footnote>
  <w:footnote w:id="83">
    <w:p w14:paraId="642F8041" w14:textId="77777777" w:rsidR="0083044B" w:rsidRPr="00774F2C" w:rsidRDefault="0083044B" w:rsidP="00774F2C">
      <w:pPr>
        <w:pStyle w:val="FootnoteText"/>
        <w:spacing w:before="0"/>
        <w:rPr>
          <w:lang w:val="en-US"/>
        </w:rPr>
      </w:pPr>
      <w:r w:rsidRPr="00774F2C">
        <w:rPr>
          <w:rStyle w:val="FootnoteReference"/>
          <w:rFonts w:ascii="Times New Roman" w:hAnsi="Times New Roman" w:cs="Times New Roman"/>
          <w:sz w:val="20"/>
        </w:rPr>
        <w:footnoteRef/>
      </w:r>
      <w:r w:rsidRPr="00774F2C">
        <w:rPr>
          <w:lang w:val="en-US"/>
        </w:rPr>
        <w:t xml:space="preserve">See AU, 1986, </w:t>
      </w:r>
      <w:r w:rsidRPr="00774F2C">
        <w:rPr>
          <w:b/>
          <w:lang w:val="en-US"/>
        </w:rPr>
        <w:t>The African Charter on Human and Peoples Rights</w:t>
      </w:r>
      <w:r w:rsidRPr="00774F2C">
        <w:rPr>
          <w:lang w:val="en-US"/>
        </w:rPr>
        <w:t>. Preamble &amp; art. 2</w:t>
      </w:r>
    </w:p>
  </w:footnote>
  <w:footnote w:id="84">
    <w:p w14:paraId="0D582AF0" w14:textId="5B8BD5BB" w:rsidR="0083044B" w:rsidRPr="00774F2C" w:rsidRDefault="0083044B" w:rsidP="00774F2C">
      <w:pPr>
        <w:pStyle w:val="FootnoteText"/>
        <w:spacing w:before="0"/>
        <w:rPr>
          <w:lang w:val="en-US"/>
        </w:rPr>
      </w:pPr>
      <w:r w:rsidRPr="00774F2C">
        <w:rPr>
          <w:rStyle w:val="FootnoteReference"/>
          <w:rFonts w:ascii="Times New Roman" w:hAnsi="Times New Roman" w:cs="Times New Roman"/>
          <w:sz w:val="20"/>
        </w:rPr>
        <w:footnoteRef/>
      </w:r>
      <w:r w:rsidRPr="00774F2C">
        <w:rPr>
          <w:lang w:val="en-US"/>
        </w:rPr>
        <w:t xml:space="preserve">GoK, 2010. </w:t>
      </w:r>
      <w:r w:rsidRPr="00513168">
        <w:rPr>
          <w:b/>
          <w:lang w:val="en-US"/>
        </w:rPr>
        <w:t xml:space="preserve">Constitution of </w:t>
      </w:r>
      <w:r w:rsidR="005E78F1" w:rsidRPr="00513168">
        <w:rPr>
          <w:b/>
          <w:lang w:val="en-US"/>
        </w:rPr>
        <w:t>Kenya</w:t>
      </w:r>
      <w:r w:rsidR="005E78F1">
        <w:rPr>
          <w:lang w:val="en-US"/>
        </w:rPr>
        <w:t>. Chapter</w:t>
      </w:r>
      <w:r w:rsidRPr="00774F2C">
        <w:rPr>
          <w:lang w:val="en-US"/>
        </w:rPr>
        <w:t xml:space="preserve"> Four</w:t>
      </w:r>
      <w:r w:rsidR="005E78F1">
        <w:rPr>
          <w:lang w:val="en-US"/>
        </w:rPr>
        <w:t>, arts. 19-57.</w:t>
      </w:r>
    </w:p>
  </w:footnote>
  <w:footnote w:id="85">
    <w:p w14:paraId="0A73ED31" w14:textId="77777777" w:rsidR="0083044B" w:rsidRPr="00BE0963" w:rsidRDefault="0083044B" w:rsidP="007E314B">
      <w:pPr>
        <w:pStyle w:val="FootnoteText"/>
        <w:spacing w:before="0"/>
        <w:rPr>
          <w:lang w:val="en-US"/>
        </w:rPr>
      </w:pPr>
      <w:r>
        <w:rPr>
          <w:rStyle w:val="FootnoteReference"/>
        </w:rPr>
        <w:footnoteRef/>
      </w:r>
      <w:r w:rsidRPr="0050471E">
        <w:rPr>
          <w:b/>
          <w:lang w:val="en-US"/>
        </w:rPr>
        <w:t>Penal Code CAP 63 Laws of Kenya</w:t>
      </w:r>
      <w:r>
        <w:rPr>
          <w:lang w:val="en-US"/>
        </w:rPr>
        <w:t xml:space="preserve"> articles 162, 163 &amp; 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FA59" w14:textId="01D47047" w:rsidR="00574D1A" w:rsidRDefault="00130C98">
    <w:pPr>
      <w:pStyle w:val="Header"/>
    </w:pPr>
    <w:r>
      <w:rPr>
        <w:noProof/>
        <w:lang w:eastAsia="en-GB"/>
      </w:rPr>
      <mc:AlternateContent>
        <mc:Choice Requires="wps">
          <w:drawing>
            <wp:anchor distT="0" distB="0" distL="114300" distR="114300" simplePos="0" relativeHeight="251660288" behindDoc="0" locked="0" layoutInCell="0" allowOverlap="1" wp14:anchorId="4DE4064B" wp14:editId="3FD2556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447EC88" w14:textId="75AD11C6" w:rsidR="00130C98" w:rsidRDefault="00130C98" w:rsidP="00130C98">
                              <w:pPr>
                                <w:spacing w:line="240" w:lineRule="auto"/>
                                <w:jc w:val="center"/>
                              </w:pPr>
                              <w:r w:rsidRPr="00130C98">
                                <w:rPr>
                                  <w:sz w:val="20"/>
                                  <w:szCs w:val="20"/>
                                </w:rPr>
                                <w:t xml:space="preserve">An </w:t>
                              </w:r>
                              <w:r w:rsidRPr="00130C98">
                                <w:rPr>
                                  <w:sz w:val="20"/>
                                  <w:szCs w:val="20"/>
                                </w:rPr>
                                <w:t>Examination</w:t>
                              </w:r>
                              <w:r w:rsidRPr="00130C98">
                                <w:rPr>
                                  <w:sz w:val="20"/>
                                  <w:szCs w:val="20"/>
                                </w:rPr>
                                <w:t xml:space="preserve"> of LGBTQI Rights in Kenya: Gains from the 2010 </w:t>
                              </w:r>
                              <w:r w:rsidRPr="00130C98">
                                <w:rPr>
                                  <w:sz w:val="20"/>
                                  <w:szCs w:val="20"/>
                                </w:rPr>
                                <w:t>Constitution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DE4064B"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0"/>
                        <w:szCs w:val="20"/>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447EC88" w14:textId="75AD11C6" w:rsidR="00130C98" w:rsidRDefault="00130C98" w:rsidP="00130C98">
                        <w:pPr>
                          <w:spacing w:line="240" w:lineRule="auto"/>
                          <w:jc w:val="center"/>
                        </w:pPr>
                        <w:r w:rsidRPr="00130C98">
                          <w:rPr>
                            <w:sz w:val="20"/>
                            <w:szCs w:val="20"/>
                          </w:rPr>
                          <w:t xml:space="preserve">An </w:t>
                        </w:r>
                        <w:r w:rsidRPr="00130C98">
                          <w:rPr>
                            <w:sz w:val="20"/>
                            <w:szCs w:val="20"/>
                          </w:rPr>
                          <w:t>Examination</w:t>
                        </w:r>
                        <w:r w:rsidRPr="00130C98">
                          <w:rPr>
                            <w:sz w:val="20"/>
                            <w:szCs w:val="20"/>
                          </w:rPr>
                          <w:t xml:space="preserve"> of LGBTQI Rights in Kenya: Gains from the 2010 </w:t>
                        </w:r>
                        <w:r w:rsidRPr="00130C98">
                          <w:rPr>
                            <w:sz w:val="20"/>
                            <w:szCs w:val="20"/>
                          </w:rPr>
                          <w:t>Constitution</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0323E97A" wp14:editId="13C0AD9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7FF09DC" w14:textId="77777777" w:rsidR="00130C98" w:rsidRDefault="00130C98">
                          <w:pPr>
                            <w:spacing w:line="240" w:lineRule="auto"/>
                            <w:jc w:val="right"/>
                            <w:rPr>
                              <w:color w:val="FFFFFF" w:themeColor="background1"/>
                            </w:rPr>
                          </w:pPr>
                          <w:r>
                            <w:fldChar w:fldCharType="begin"/>
                          </w:r>
                          <w:r>
                            <w:instrText xml:space="preserve"> PAGE   \* MERGEFORMAT </w:instrText>
                          </w:r>
                          <w:r>
                            <w:fldChar w:fldCharType="separate"/>
                          </w:r>
                          <w:r w:rsidRPr="00130C98">
                            <w:rPr>
                              <w:noProof/>
                              <w:color w:val="FFFFFF" w:themeColor="background1"/>
                            </w:rPr>
                            <w:t>80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323E97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77FF09DC" w14:textId="77777777" w:rsidR="00130C98" w:rsidRDefault="00130C98">
                    <w:pPr>
                      <w:spacing w:line="240" w:lineRule="auto"/>
                      <w:jc w:val="right"/>
                      <w:rPr>
                        <w:color w:val="FFFFFF" w:themeColor="background1"/>
                      </w:rPr>
                    </w:pPr>
                    <w:r>
                      <w:fldChar w:fldCharType="begin"/>
                    </w:r>
                    <w:r>
                      <w:instrText xml:space="preserve"> PAGE   \* MERGEFORMAT </w:instrText>
                    </w:r>
                    <w:r>
                      <w:fldChar w:fldCharType="separate"/>
                    </w:r>
                    <w:r w:rsidRPr="00130C98">
                      <w:rPr>
                        <w:noProof/>
                        <w:color w:val="FFFFFF" w:themeColor="background1"/>
                      </w:rPr>
                      <w:t>80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409"/>
    <w:multiLevelType w:val="hybridMultilevel"/>
    <w:tmpl w:val="D492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D73DA"/>
    <w:multiLevelType w:val="hybridMultilevel"/>
    <w:tmpl w:val="7C8A4D9A"/>
    <w:lvl w:ilvl="0" w:tplc="801E9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35B3E"/>
    <w:multiLevelType w:val="hybridMultilevel"/>
    <w:tmpl w:val="57C6DF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94EF7"/>
    <w:multiLevelType w:val="hybridMultilevel"/>
    <w:tmpl w:val="1F1842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96AB2"/>
    <w:multiLevelType w:val="hybridMultilevel"/>
    <w:tmpl w:val="DD548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967B9"/>
    <w:multiLevelType w:val="hybridMultilevel"/>
    <w:tmpl w:val="5120A866"/>
    <w:lvl w:ilvl="0" w:tplc="F6A49F28">
      <w:start w:val="1"/>
      <w:numFmt w:val="decimal"/>
      <w:lvlText w:val="%1."/>
      <w:lvlJc w:val="left"/>
      <w:pPr>
        <w:ind w:left="1800" w:hanging="360"/>
      </w:pPr>
      <w:rPr>
        <w:rFonts w:hint="default"/>
        <w:b/>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36C16FB"/>
    <w:multiLevelType w:val="hybridMultilevel"/>
    <w:tmpl w:val="949A407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92B3C"/>
    <w:multiLevelType w:val="hybridMultilevel"/>
    <w:tmpl w:val="D30E4F2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FF15C3"/>
    <w:multiLevelType w:val="hybridMultilevel"/>
    <w:tmpl w:val="6974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F1C29"/>
    <w:multiLevelType w:val="hybridMultilevel"/>
    <w:tmpl w:val="19D08D9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495E9E"/>
    <w:multiLevelType w:val="hybridMultilevel"/>
    <w:tmpl w:val="02BAFCC0"/>
    <w:lvl w:ilvl="0" w:tplc="41F0F998">
      <w:start w:val="1"/>
      <w:numFmt w:val="lowerLetter"/>
      <w:lvlText w:val="(%1)"/>
      <w:lvlJc w:val="left"/>
      <w:pPr>
        <w:ind w:left="450" w:hanging="39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3C3613FA"/>
    <w:multiLevelType w:val="hybridMultilevel"/>
    <w:tmpl w:val="10DE799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6806BA"/>
    <w:multiLevelType w:val="hybridMultilevel"/>
    <w:tmpl w:val="F93073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C616F0"/>
    <w:multiLevelType w:val="multilevel"/>
    <w:tmpl w:val="6CD004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715EA"/>
    <w:multiLevelType w:val="hybridMultilevel"/>
    <w:tmpl w:val="7556D7B0"/>
    <w:lvl w:ilvl="0" w:tplc="A732CDD2">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F80A83"/>
    <w:multiLevelType w:val="hybridMultilevel"/>
    <w:tmpl w:val="093C8B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0F0609"/>
    <w:multiLevelType w:val="hybridMultilevel"/>
    <w:tmpl w:val="6032B7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BEF438D"/>
    <w:multiLevelType w:val="hybridMultilevel"/>
    <w:tmpl w:val="651EBAF0"/>
    <w:lvl w:ilvl="0" w:tplc="104ECB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F7745C"/>
    <w:multiLevelType w:val="hybridMultilevel"/>
    <w:tmpl w:val="500C569A"/>
    <w:lvl w:ilvl="0" w:tplc="AEA6BE94">
      <w:start w:val="1"/>
      <w:numFmt w:val="lowerLetter"/>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AD0701"/>
    <w:multiLevelType w:val="hybridMultilevel"/>
    <w:tmpl w:val="C4EC2E9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6F1E95"/>
    <w:multiLevelType w:val="hybridMultilevel"/>
    <w:tmpl w:val="D78EE8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A94BF3"/>
    <w:multiLevelType w:val="hybridMultilevel"/>
    <w:tmpl w:val="D556CA4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8C712A"/>
    <w:multiLevelType w:val="hybridMultilevel"/>
    <w:tmpl w:val="72B28794"/>
    <w:lvl w:ilvl="0" w:tplc="AF6E87A0">
      <w:start w:val="1"/>
      <w:numFmt w:val="decimal"/>
      <w:lvlText w:val="%1."/>
      <w:lvlJc w:val="left"/>
      <w:pPr>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5A7340"/>
    <w:multiLevelType w:val="hybridMultilevel"/>
    <w:tmpl w:val="36F016C8"/>
    <w:lvl w:ilvl="0" w:tplc="3DB24A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96523"/>
    <w:multiLevelType w:val="hybridMultilevel"/>
    <w:tmpl w:val="726C184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4523F3"/>
    <w:multiLevelType w:val="hybridMultilevel"/>
    <w:tmpl w:val="C7C09EC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7342AB"/>
    <w:multiLevelType w:val="hybridMultilevel"/>
    <w:tmpl w:val="BA0AA25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6555F8"/>
    <w:multiLevelType w:val="hybridMultilevel"/>
    <w:tmpl w:val="4EB4AE28"/>
    <w:lvl w:ilvl="0" w:tplc="C37030A8">
      <w:start w:val="1"/>
      <w:numFmt w:val="bullet"/>
      <w:pStyle w:val="Hanging"/>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8">
    <w:nsid w:val="6EE637F0"/>
    <w:multiLevelType w:val="hybridMultilevel"/>
    <w:tmpl w:val="5B3211A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F84648"/>
    <w:multiLevelType w:val="hybridMultilevel"/>
    <w:tmpl w:val="2AA8E4C6"/>
    <w:lvl w:ilvl="0" w:tplc="88268558">
      <w:start w:val="1"/>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5F63B53"/>
    <w:multiLevelType w:val="hybridMultilevel"/>
    <w:tmpl w:val="4F46AFEA"/>
    <w:lvl w:ilvl="0" w:tplc="388019D8">
      <w:start w:val="1"/>
      <w:numFmt w:val="lowerLetter"/>
      <w:lvlText w:val="(%1)"/>
      <w:lvlJc w:val="left"/>
      <w:pPr>
        <w:ind w:left="8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8453A11"/>
    <w:multiLevelType w:val="hybridMultilevel"/>
    <w:tmpl w:val="4078ADAC"/>
    <w:lvl w:ilvl="0" w:tplc="4508A17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1F6DAF"/>
    <w:multiLevelType w:val="hybridMultilevel"/>
    <w:tmpl w:val="30CED3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F55F51"/>
    <w:multiLevelType w:val="hybridMultilevel"/>
    <w:tmpl w:val="EE8AEA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3"/>
  </w:num>
  <w:num w:numId="10">
    <w:abstractNumId w:val="8"/>
  </w:num>
  <w:num w:numId="11">
    <w:abstractNumId w:val="4"/>
  </w:num>
  <w:num w:numId="12">
    <w:abstractNumId w:val="1"/>
  </w:num>
  <w:num w:numId="13">
    <w:abstractNumId w:val="28"/>
  </w:num>
  <w:num w:numId="14">
    <w:abstractNumId w:val="12"/>
  </w:num>
  <w:num w:numId="15">
    <w:abstractNumId w:val="7"/>
  </w:num>
  <w:num w:numId="16">
    <w:abstractNumId w:val="32"/>
  </w:num>
  <w:num w:numId="17">
    <w:abstractNumId w:val="17"/>
  </w:num>
  <w:num w:numId="18">
    <w:abstractNumId w:val="24"/>
  </w:num>
  <w:num w:numId="19">
    <w:abstractNumId w:val="31"/>
  </w:num>
  <w:num w:numId="20">
    <w:abstractNumId w:val="10"/>
  </w:num>
  <w:num w:numId="21">
    <w:abstractNumId w:val="30"/>
  </w:num>
  <w:num w:numId="22">
    <w:abstractNumId w:val="11"/>
  </w:num>
  <w:num w:numId="23">
    <w:abstractNumId w:val="26"/>
  </w:num>
  <w:num w:numId="24">
    <w:abstractNumId w:val="19"/>
  </w:num>
  <w:num w:numId="25">
    <w:abstractNumId w:val="15"/>
  </w:num>
  <w:num w:numId="26">
    <w:abstractNumId w:val="3"/>
  </w:num>
  <w:num w:numId="27">
    <w:abstractNumId w:val="25"/>
  </w:num>
  <w:num w:numId="28">
    <w:abstractNumId w:val="9"/>
  </w:num>
  <w:num w:numId="29">
    <w:abstractNumId w:val="18"/>
  </w:num>
  <w:num w:numId="30">
    <w:abstractNumId w:val="21"/>
  </w:num>
  <w:num w:numId="31">
    <w:abstractNumId w:val="2"/>
  </w:num>
  <w:num w:numId="32">
    <w:abstractNumId w:val="6"/>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B9"/>
    <w:rsid w:val="00000E11"/>
    <w:rsid w:val="00002C41"/>
    <w:rsid w:val="00005D62"/>
    <w:rsid w:val="00026A6A"/>
    <w:rsid w:val="000273F3"/>
    <w:rsid w:val="00032FB1"/>
    <w:rsid w:val="00035DB2"/>
    <w:rsid w:val="00045A54"/>
    <w:rsid w:val="000472F4"/>
    <w:rsid w:val="000532FB"/>
    <w:rsid w:val="000623E6"/>
    <w:rsid w:val="00065131"/>
    <w:rsid w:val="00072659"/>
    <w:rsid w:val="0007422F"/>
    <w:rsid w:val="00086465"/>
    <w:rsid w:val="00086930"/>
    <w:rsid w:val="00093AB2"/>
    <w:rsid w:val="000A05E5"/>
    <w:rsid w:val="000A15C7"/>
    <w:rsid w:val="000A27E2"/>
    <w:rsid w:val="000A75B3"/>
    <w:rsid w:val="000A7926"/>
    <w:rsid w:val="000B20BC"/>
    <w:rsid w:val="000B3447"/>
    <w:rsid w:val="000B6B78"/>
    <w:rsid w:val="000B7109"/>
    <w:rsid w:val="000C09E9"/>
    <w:rsid w:val="000C2525"/>
    <w:rsid w:val="000C356F"/>
    <w:rsid w:val="000D1BFA"/>
    <w:rsid w:val="000D26BA"/>
    <w:rsid w:val="000D33CB"/>
    <w:rsid w:val="000D4740"/>
    <w:rsid w:val="000D67EA"/>
    <w:rsid w:val="000E0A17"/>
    <w:rsid w:val="000E580A"/>
    <w:rsid w:val="000F1441"/>
    <w:rsid w:val="000F1503"/>
    <w:rsid w:val="000F219C"/>
    <w:rsid w:val="000F3122"/>
    <w:rsid w:val="000F39D4"/>
    <w:rsid w:val="000F3B6C"/>
    <w:rsid w:val="000F60E5"/>
    <w:rsid w:val="000F79BD"/>
    <w:rsid w:val="00101CBF"/>
    <w:rsid w:val="001058DD"/>
    <w:rsid w:val="00105DBC"/>
    <w:rsid w:val="00105E95"/>
    <w:rsid w:val="00107253"/>
    <w:rsid w:val="00107611"/>
    <w:rsid w:val="00110758"/>
    <w:rsid w:val="00110BFB"/>
    <w:rsid w:val="00113D70"/>
    <w:rsid w:val="0011784F"/>
    <w:rsid w:val="00120017"/>
    <w:rsid w:val="00120FD0"/>
    <w:rsid w:val="00122045"/>
    <w:rsid w:val="001240DE"/>
    <w:rsid w:val="00130C98"/>
    <w:rsid w:val="0013273B"/>
    <w:rsid w:val="00136EEE"/>
    <w:rsid w:val="00141F11"/>
    <w:rsid w:val="0014565C"/>
    <w:rsid w:val="001527E9"/>
    <w:rsid w:val="00152F9B"/>
    <w:rsid w:val="0015526F"/>
    <w:rsid w:val="001571A5"/>
    <w:rsid w:val="0016039B"/>
    <w:rsid w:val="00161917"/>
    <w:rsid w:val="0016222A"/>
    <w:rsid w:val="0016319F"/>
    <w:rsid w:val="0016359A"/>
    <w:rsid w:val="00164607"/>
    <w:rsid w:val="001765DA"/>
    <w:rsid w:val="00182C66"/>
    <w:rsid w:val="00196B7E"/>
    <w:rsid w:val="001A084F"/>
    <w:rsid w:val="001A22B9"/>
    <w:rsid w:val="001A2694"/>
    <w:rsid w:val="001A35D5"/>
    <w:rsid w:val="001B0492"/>
    <w:rsid w:val="001B0E31"/>
    <w:rsid w:val="001B7043"/>
    <w:rsid w:val="001C0C09"/>
    <w:rsid w:val="001C2A83"/>
    <w:rsid w:val="001C3D2D"/>
    <w:rsid w:val="001C44B4"/>
    <w:rsid w:val="001C5F0A"/>
    <w:rsid w:val="001E1622"/>
    <w:rsid w:val="001E1C1D"/>
    <w:rsid w:val="001E3C1C"/>
    <w:rsid w:val="001E66F3"/>
    <w:rsid w:val="001E6BBB"/>
    <w:rsid w:val="001F092C"/>
    <w:rsid w:val="001F52EB"/>
    <w:rsid w:val="001F669D"/>
    <w:rsid w:val="00201227"/>
    <w:rsid w:val="00203603"/>
    <w:rsid w:val="00211019"/>
    <w:rsid w:val="002138B3"/>
    <w:rsid w:val="00214BEA"/>
    <w:rsid w:val="00216D3F"/>
    <w:rsid w:val="00220ECB"/>
    <w:rsid w:val="002231DA"/>
    <w:rsid w:val="0022551F"/>
    <w:rsid w:val="00225F8A"/>
    <w:rsid w:val="00230E46"/>
    <w:rsid w:val="0024299C"/>
    <w:rsid w:val="00244E73"/>
    <w:rsid w:val="002453A9"/>
    <w:rsid w:val="00246B3D"/>
    <w:rsid w:val="00246F25"/>
    <w:rsid w:val="00253570"/>
    <w:rsid w:val="002539FF"/>
    <w:rsid w:val="00254557"/>
    <w:rsid w:val="00260A30"/>
    <w:rsid w:val="002630AD"/>
    <w:rsid w:val="002657E7"/>
    <w:rsid w:val="00265F0A"/>
    <w:rsid w:val="00267031"/>
    <w:rsid w:val="002713D0"/>
    <w:rsid w:val="00271D51"/>
    <w:rsid w:val="00272B45"/>
    <w:rsid w:val="00280035"/>
    <w:rsid w:val="002805CE"/>
    <w:rsid w:val="00282F12"/>
    <w:rsid w:val="0028668F"/>
    <w:rsid w:val="0028752E"/>
    <w:rsid w:val="00290248"/>
    <w:rsid w:val="002924F0"/>
    <w:rsid w:val="00293175"/>
    <w:rsid w:val="002A2788"/>
    <w:rsid w:val="002A51FA"/>
    <w:rsid w:val="002A731A"/>
    <w:rsid w:val="002B4934"/>
    <w:rsid w:val="002B4CFF"/>
    <w:rsid w:val="002C2062"/>
    <w:rsid w:val="002C56AC"/>
    <w:rsid w:val="002C7E67"/>
    <w:rsid w:val="002D0985"/>
    <w:rsid w:val="002D3CDA"/>
    <w:rsid w:val="002D4C95"/>
    <w:rsid w:val="002D4D23"/>
    <w:rsid w:val="002D675D"/>
    <w:rsid w:val="002E26ED"/>
    <w:rsid w:val="002E2C68"/>
    <w:rsid w:val="002E4F94"/>
    <w:rsid w:val="002F2000"/>
    <w:rsid w:val="002F4482"/>
    <w:rsid w:val="0030115D"/>
    <w:rsid w:val="00301EE5"/>
    <w:rsid w:val="00303DD3"/>
    <w:rsid w:val="00304BEC"/>
    <w:rsid w:val="00306BC9"/>
    <w:rsid w:val="003078B3"/>
    <w:rsid w:val="00310EF3"/>
    <w:rsid w:val="0031387F"/>
    <w:rsid w:val="00313E5F"/>
    <w:rsid w:val="003162B9"/>
    <w:rsid w:val="003164BE"/>
    <w:rsid w:val="00317B71"/>
    <w:rsid w:val="00320D7C"/>
    <w:rsid w:val="00324EB1"/>
    <w:rsid w:val="003326D1"/>
    <w:rsid w:val="0033688B"/>
    <w:rsid w:val="00340706"/>
    <w:rsid w:val="00344F2A"/>
    <w:rsid w:val="003502B2"/>
    <w:rsid w:val="00351C91"/>
    <w:rsid w:val="0035370A"/>
    <w:rsid w:val="00367B2D"/>
    <w:rsid w:val="0037052E"/>
    <w:rsid w:val="003707B8"/>
    <w:rsid w:val="00377C21"/>
    <w:rsid w:val="0038237C"/>
    <w:rsid w:val="00383B2B"/>
    <w:rsid w:val="003878A0"/>
    <w:rsid w:val="00394904"/>
    <w:rsid w:val="00395289"/>
    <w:rsid w:val="00395EB8"/>
    <w:rsid w:val="00395F43"/>
    <w:rsid w:val="00397696"/>
    <w:rsid w:val="003977E4"/>
    <w:rsid w:val="003A31C4"/>
    <w:rsid w:val="003A3F2F"/>
    <w:rsid w:val="003A49B8"/>
    <w:rsid w:val="003A5350"/>
    <w:rsid w:val="003B3BD8"/>
    <w:rsid w:val="003B53A6"/>
    <w:rsid w:val="003B5E6D"/>
    <w:rsid w:val="003B63AA"/>
    <w:rsid w:val="003B68D0"/>
    <w:rsid w:val="003C1C9F"/>
    <w:rsid w:val="003C31FA"/>
    <w:rsid w:val="003C5316"/>
    <w:rsid w:val="003C7A5A"/>
    <w:rsid w:val="003D0FDF"/>
    <w:rsid w:val="003D1ABC"/>
    <w:rsid w:val="003D216D"/>
    <w:rsid w:val="003D38F6"/>
    <w:rsid w:val="003D5B71"/>
    <w:rsid w:val="003D7F72"/>
    <w:rsid w:val="003E209F"/>
    <w:rsid w:val="003E3A1F"/>
    <w:rsid w:val="003F14D8"/>
    <w:rsid w:val="003F3B3B"/>
    <w:rsid w:val="003F4B2B"/>
    <w:rsid w:val="003F6126"/>
    <w:rsid w:val="003F6A6C"/>
    <w:rsid w:val="00400221"/>
    <w:rsid w:val="00405D60"/>
    <w:rsid w:val="004068B6"/>
    <w:rsid w:val="00415964"/>
    <w:rsid w:val="0043095E"/>
    <w:rsid w:val="00434067"/>
    <w:rsid w:val="00436493"/>
    <w:rsid w:val="00442A68"/>
    <w:rsid w:val="00443B54"/>
    <w:rsid w:val="00444A4C"/>
    <w:rsid w:val="00446923"/>
    <w:rsid w:val="0044694C"/>
    <w:rsid w:val="00453542"/>
    <w:rsid w:val="00455155"/>
    <w:rsid w:val="00457852"/>
    <w:rsid w:val="00457A6C"/>
    <w:rsid w:val="004642F0"/>
    <w:rsid w:val="00464D51"/>
    <w:rsid w:val="00473A1B"/>
    <w:rsid w:val="00474B3E"/>
    <w:rsid w:val="00476AE9"/>
    <w:rsid w:val="00481D5C"/>
    <w:rsid w:val="00484396"/>
    <w:rsid w:val="00485680"/>
    <w:rsid w:val="00491017"/>
    <w:rsid w:val="004A1D0A"/>
    <w:rsid w:val="004A21A7"/>
    <w:rsid w:val="004A5D6F"/>
    <w:rsid w:val="004A62B4"/>
    <w:rsid w:val="004B6123"/>
    <w:rsid w:val="004C30A1"/>
    <w:rsid w:val="004C32C2"/>
    <w:rsid w:val="004C5A17"/>
    <w:rsid w:val="004D56CE"/>
    <w:rsid w:val="004D57BB"/>
    <w:rsid w:val="004E0836"/>
    <w:rsid w:val="004E218D"/>
    <w:rsid w:val="004E328B"/>
    <w:rsid w:val="004E5667"/>
    <w:rsid w:val="004F0CB8"/>
    <w:rsid w:val="004F5210"/>
    <w:rsid w:val="004F6363"/>
    <w:rsid w:val="004F7F5C"/>
    <w:rsid w:val="00500369"/>
    <w:rsid w:val="00502EE0"/>
    <w:rsid w:val="005033C2"/>
    <w:rsid w:val="005040F8"/>
    <w:rsid w:val="0050471E"/>
    <w:rsid w:val="00506509"/>
    <w:rsid w:val="00510151"/>
    <w:rsid w:val="0051236C"/>
    <w:rsid w:val="00513168"/>
    <w:rsid w:val="00514038"/>
    <w:rsid w:val="00514C55"/>
    <w:rsid w:val="00514E04"/>
    <w:rsid w:val="005155F8"/>
    <w:rsid w:val="005232FA"/>
    <w:rsid w:val="00525C7A"/>
    <w:rsid w:val="005275D2"/>
    <w:rsid w:val="00531977"/>
    <w:rsid w:val="00531A53"/>
    <w:rsid w:val="00534CF8"/>
    <w:rsid w:val="00535025"/>
    <w:rsid w:val="005369B3"/>
    <w:rsid w:val="00536BFC"/>
    <w:rsid w:val="00544C44"/>
    <w:rsid w:val="00547848"/>
    <w:rsid w:val="0055405B"/>
    <w:rsid w:val="00554068"/>
    <w:rsid w:val="00555E3B"/>
    <w:rsid w:val="00556118"/>
    <w:rsid w:val="0056163C"/>
    <w:rsid w:val="00564E63"/>
    <w:rsid w:val="00566297"/>
    <w:rsid w:val="00567BB7"/>
    <w:rsid w:val="00567F2D"/>
    <w:rsid w:val="00570C12"/>
    <w:rsid w:val="00574D1A"/>
    <w:rsid w:val="00580D23"/>
    <w:rsid w:val="00582FE7"/>
    <w:rsid w:val="00584F9A"/>
    <w:rsid w:val="005877F5"/>
    <w:rsid w:val="00590CA8"/>
    <w:rsid w:val="005939EC"/>
    <w:rsid w:val="00593C0A"/>
    <w:rsid w:val="0059408E"/>
    <w:rsid w:val="00594421"/>
    <w:rsid w:val="00594C85"/>
    <w:rsid w:val="00595484"/>
    <w:rsid w:val="00596D3C"/>
    <w:rsid w:val="005A095E"/>
    <w:rsid w:val="005A255F"/>
    <w:rsid w:val="005A26C3"/>
    <w:rsid w:val="005A4B28"/>
    <w:rsid w:val="005A4CCD"/>
    <w:rsid w:val="005A7B2D"/>
    <w:rsid w:val="005C33CF"/>
    <w:rsid w:val="005C476C"/>
    <w:rsid w:val="005C5E57"/>
    <w:rsid w:val="005C7E64"/>
    <w:rsid w:val="005D0F7E"/>
    <w:rsid w:val="005D2F93"/>
    <w:rsid w:val="005D3A9C"/>
    <w:rsid w:val="005D61D3"/>
    <w:rsid w:val="005E0D6D"/>
    <w:rsid w:val="005E2D96"/>
    <w:rsid w:val="005E4D55"/>
    <w:rsid w:val="005E78F1"/>
    <w:rsid w:val="005F289A"/>
    <w:rsid w:val="005F3ABF"/>
    <w:rsid w:val="005F6B9A"/>
    <w:rsid w:val="005F77DB"/>
    <w:rsid w:val="00613103"/>
    <w:rsid w:val="00622006"/>
    <w:rsid w:val="006251B9"/>
    <w:rsid w:val="006438B6"/>
    <w:rsid w:val="00643C59"/>
    <w:rsid w:val="00643D66"/>
    <w:rsid w:val="00643ECE"/>
    <w:rsid w:val="00644483"/>
    <w:rsid w:val="00646DF2"/>
    <w:rsid w:val="0064715B"/>
    <w:rsid w:val="00651A17"/>
    <w:rsid w:val="00653CE5"/>
    <w:rsid w:val="00655831"/>
    <w:rsid w:val="00656A88"/>
    <w:rsid w:val="00657181"/>
    <w:rsid w:val="00660616"/>
    <w:rsid w:val="006625F1"/>
    <w:rsid w:val="00662A1C"/>
    <w:rsid w:val="00664F3A"/>
    <w:rsid w:val="00665FE0"/>
    <w:rsid w:val="0067417D"/>
    <w:rsid w:val="00675E07"/>
    <w:rsid w:val="006766A4"/>
    <w:rsid w:val="00680043"/>
    <w:rsid w:val="00682BDE"/>
    <w:rsid w:val="00690490"/>
    <w:rsid w:val="00694B38"/>
    <w:rsid w:val="00695529"/>
    <w:rsid w:val="006A0583"/>
    <w:rsid w:val="006A1739"/>
    <w:rsid w:val="006A3DD8"/>
    <w:rsid w:val="006A7AC7"/>
    <w:rsid w:val="006B0492"/>
    <w:rsid w:val="006B69B9"/>
    <w:rsid w:val="006C29C9"/>
    <w:rsid w:val="006C399B"/>
    <w:rsid w:val="006C4451"/>
    <w:rsid w:val="006D0204"/>
    <w:rsid w:val="006D15F9"/>
    <w:rsid w:val="006D7697"/>
    <w:rsid w:val="006D7F85"/>
    <w:rsid w:val="006E02B3"/>
    <w:rsid w:val="006F1E54"/>
    <w:rsid w:val="006F275C"/>
    <w:rsid w:val="006F2A41"/>
    <w:rsid w:val="006F2F7A"/>
    <w:rsid w:val="006F2FB1"/>
    <w:rsid w:val="006F4CA3"/>
    <w:rsid w:val="00703295"/>
    <w:rsid w:val="0070415C"/>
    <w:rsid w:val="007074AF"/>
    <w:rsid w:val="00707607"/>
    <w:rsid w:val="00712254"/>
    <w:rsid w:val="00713750"/>
    <w:rsid w:val="00731B52"/>
    <w:rsid w:val="0073294B"/>
    <w:rsid w:val="0073517F"/>
    <w:rsid w:val="007407D1"/>
    <w:rsid w:val="0074318F"/>
    <w:rsid w:val="0074421A"/>
    <w:rsid w:val="00750B79"/>
    <w:rsid w:val="007518E6"/>
    <w:rsid w:val="00756B30"/>
    <w:rsid w:val="00761D2E"/>
    <w:rsid w:val="0076229B"/>
    <w:rsid w:val="007741D3"/>
    <w:rsid w:val="00774F2C"/>
    <w:rsid w:val="0077593B"/>
    <w:rsid w:val="007766AC"/>
    <w:rsid w:val="00776C4E"/>
    <w:rsid w:val="00782B03"/>
    <w:rsid w:val="007839A8"/>
    <w:rsid w:val="00787CB3"/>
    <w:rsid w:val="0079350F"/>
    <w:rsid w:val="0079704A"/>
    <w:rsid w:val="007A136F"/>
    <w:rsid w:val="007A1EB5"/>
    <w:rsid w:val="007A4303"/>
    <w:rsid w:val="007A4A34"/>
    <w:rsid w:val="007B21D0"/>
    <w:rsid w:val="007B385E"/>
    <w:rsid w:val="007B3BD8"/>
    <w:rsid w:val="007B3EA9"/>
    <w:rsid w:val="007B743F"/>
    <w:rsid w:val="007B7F5A"/>
    <w:rsid w:val="007C26E6"/>
    <w:rsid w:val="007C57B9"/>
    <w:rsid w:val="007C6285"/>
    <w:rsid w:val="007E314B"/>
    <w:rsid w:val="007E6756"/>
    <w:rsid w:val="007E6A1A"/>
    <w:rsid w:val="007E6C12"/>
    <w:rsid w:val="007F2094"/>
    <w:rsid w:val="007F3405"/>
    <w:rsid w:val="007F698E"/>
    <w:rsid w:val="007F71A1"/>
    <w:rsid w:val="0080172D"/>
    <w:rsid w:val="00801A4A"/>
    <w:rsid w:val="00802EC6"/>
    <w:rsid w:val="00803BAC"/>
    <w:rsid w:val="008046B7"/>
    <w:rsid w:val="00813C51"/>
    <w:rsid w:val="008160D3"/>
    <w:rsid w:val="00820157"/>
    <w:rsid w:val="00821355"/>
    <w:rsid w:val="00823445"/>
    <w:rsid w:val="0082676B"/>
    <w:rsid w:val="008271E1"/>
    <w:rsid w:val="0083044B"/>
    <w:rsid w:val="00835EFD"/>
    <w:rsid w:val="00850F1B"/>
    <w:rsid w:val="00853E42"/>
    <w:rsid w:val="00863389"/>
    <w:rsid w:val="00864BEF"/>
    <w:rsid w:val="00865CEA"/>
    <w:rsid w:val="008660A3"/>
    <w:rsid w:val="0087049C"/>
    <w:rsid w:val="008727B6"/>
    <w:rsid w:val="00872EC7"/>
    <w:rsid w:val="008757E9"/>
    <w:rsid w:val="00877503"/>
    <w:rsid w:val="008819B3"/>
    <w:rsid w:val="00883630"/>
    <w:rsid w:val="008841B5"/>
    <w:rsid w:val="00884C9A"/>
    <w:rsid w:val="008850CA"/>
    <w:rsid w:val="00885F24"/>
    <w:rsid w:val="00890C95"/>
    <w:rsid w:val="00891E71"/>
    <w:rsid w:val="00895EBF"/>
    <w:rsid w:val="008971FA"/>
    <w:rsid w:val="008A17F3"/>
    <w:rsid w:val="008A2EB1"/>
    <w:rsid w:val="008A4CD4"/>
    <w:rsid w:val="008B1DD2"/>
    <w:rsid w:val="008B289B"/>
    <w:rsid w:val="008B6BE7"/>
    <w:rsid w:val="008B7411"/>
    <w:rsid w:val="008C17FD"/>
    <w:rsid w:val="008C1C7C"/>
    <w:rsid w:val="008C1F64"/>
    <w:rsid w:val="008D01A9"/>
    <w:rsid w:val="008D5EF5"/>
    <w:rsid w:val="008E081E"/>
    <w:rsid w:val="008E1A45"/>
    <w:rsid w:val="008E4D64"/>
    <w:rsid w:val="008E6D6F"/>
    <w:rsid w:val="008E7710"/>
    <w:rsid w:val="008F7B81"/>
    <w:rsid w:val="00902F38"/>
    <w:rsid w:val="009052BA"/>
    <w:rsid w:val="00906586"/>
    <w:rsid w:val="009155C0"/>
    <w:rsid w:val="009156FF"/>
    <w:rsid w:val="009224C4"/>
    <w:rsid w:val="00923A01"/>
    <w:rsid w:val="009257F7"/>
    <w:rsid w:val="00926ADD"/>
    <w:rsid w:val="00930086"/>
    <w:rsid w:val="00930D50"/>
    <w:rsid w:val="0093650C"/>
    <w:rsid w:val="00942910"/>
    <w:rsid w:val="009456E6"/>
    <w:rsid w:val="0095355D"/>
    <w:rsid w:val="00953DBA"/>
    <w:rsid w:val="00961857"/>
    <w:rsid w:val="00967B98"/>
    <w:rsid w:val="009703A1"/>
    <w:rsid w:val="009732CA"/>
    <w:rsid w:val="0097447E"/>
    <w:rsid w:val="009804BF"/>
    <w:rsid w:val="00981C74"/>
    <w:rsid w:val="00984BAF"/>
    <w:rsid w:val="009900B8"/>
    <w:rsid w:val="009A1984"/>
    <w:rsid w:val="009B0860"/>
    <w:rsid w:val="009B6400"/>
    <w:rsid w:val="009C1EE6"/>
    <w:rsid w:val="009C40D6"/>
    <w:rsid w:val="009C6A50"/>
    <w:rsid w:val="009C779A"/>
    <w:rsid w:val="009C7832"/>
    <w:rsid w:val="009D0976"/>
    <w:rsid w:val="009D0DFE"/>
    <w:rsid w:val="009D1465"/>
    <w:rsid w:val="009D46CD"/>
    <w:rsid w:val="009D519E"/>
    <w:rsid w:val="009D5C43"/>
    <w:rsid w:val="009E1A2F"/>
    <w:rsid w:val="009E1D1F"/>
    <w:rsid w:val="009E311C"/>
    <w:rsid w:val="009F0A45"/>
    <w:rsid w:val="009F178C"/>
    <w:rsid w:val="009F2EF0"/>
    <w:rsid w:val="009F427F"/>
    <w:rsid w:val="009F4380"/>
    <w:rsid w:val="009F5980"/>
    <w:rsid w:val="009F718E"/>
    <w:rsid w:val="009F7509"/>
    <w:rsid w:val="00A00B72"/>
    <w:rsid w:val="00A11741"/>
    <w:rsid w:val="00A172A7"/>
    <w:rsid w:val="00A22B2F"/>
    <w:rsid w:val="00A24241"/>
    <w:rsid w:val="00A3230C"/>
    <w:rsid w:val="00A3426C"/>
    <w:rsid w:val="00A35770"/>
    <w:rsid w:val="00A361CB"/>
    <w:rsid w:val="00A36CE3"/>
    <w:rsid w:val="00A3795B"/>
    <w:rsid w:val="00A4003D"/>
    <w:rsid w:val="00A4134F"/>
    <w:rsid w:val="00A423B9"/>
    <w:rsid w:val="00A5343A"/>
    <w:rsid w:val="00A55A6B"/>
    <w:rsid w:val="00A61897"/>
    <w:rsid w:val="00A658DF"/>
    <w:rsid w:val="00A70BA1"/>
    <w:rsid w:val="00A71FBF"/>
    <w:rsid w:val="00A7536C"/>
    <w:rsid w:val="00A83B36"/>
    <w:rsid w:val="00A85D8F"/>
    <w:rsid w:val="00A869D4"/>
    <w:rsid w:val="00A87DD1"/>
    <w:rsid w:val="00A9451F"/>
    <w:rsid w:val="00AA5747"/>
    <w:rsid w:val="00AA603A"/>
    <w:rsid w:val="00AB25CC"/>
    <w:rsid w:val="00AB3638"/>
    <w:rsid w:val="00AB58BC"/>
    <w:rsid w:val="00AC3B42"/>
    <w:rsid w:val="00AD0F72"/>
    <w:rsid w:val="00AD6641"/>
    <w:rsid w:val="00AD6F3C"/>
    <w:rsid w:val="00AE34CE"/>
    <w:rsid w:val="00AF526F"/>
    <w:rsid w:val="00AF5307"/>
    <w:rsid w:val="00B00F50"/>
    <w:rsid w:val="00B0103F"/>
    <w:rsid w:val="00B05072"/>
    <w:rsid w:val="00B068B3"/>
    <w:rsid w:val="00B06946"/>
    <w:rsid w:val="00B15668"/>
    <w:rsid w:val="00B206F0"/>
    <w:rsid w:val="00B22ACC"/>
    <w:rsid w:val="00B22C7B"/>
    <w:rsid w:val="00B22DE2"/>
    <w:rsid w:val="00B24EFC"/>
    <w:rsid w:val="00B24FAC"/>
    <w:rsid w:val="00B252C6"/>
    <w:rsid w:val="00B2547C"/>
    <w:rsid w:val="00B327C5"/>
    <w:rsid w:val="00B33E5D"/>
    <w:rsid w:val="00B34684"/>
    <w:rsid w:val="00B34B13"/>
    <w:rsid w:val="00B41F2E"/>
    <w:rsid w:val="00B44343"/>
    <w:rsid w:val="00B464FE"/>
    <w:rsid w:val="00B4677E"/>
    <w:rsid w:val="00B55C84"/>
    <w:rsid w:val="00B57F8D"/>
    <w:rsid w:val="00B71645"/>
    <w:rsid w:val="00B726EF"/>
    <w:rsid w:val="00B951DF"/>
    <w:rsid w:val="00BA179D"/>
    <w:rsid w:val="00BA4C65"/>
    <w:rsid w:val="00BA72A5"/>
    <w:rsid w:val="00BB111C"/>
    <w:rsid w:val="00BB3BAC"/>
    <w:rsid w:val="00BB3CC7"/>
    <w:rsid w:val="00BB4046"/>
    <w:rsid w:val="00BC1270"/>
    <w:rsid w:val="00BC56B6"/>
    <w:rsid w:val="00BC5FC2"/>
    <w:rsid w:val="00BC6B0C"/>
    <w:rsid w:val="00BD2F4E"/>
    <w:rsid w:val="00BD6DB9"/>
    <w:rsid w:val="00BD7D88"/>
    <w:rsid w:val="00BD7EF9"/>
    <w:rsid w:val="00BE0963"/>
    <w:rsid w:val="00BE2E97"/>
    <w:rsid w:val="00BE4871"/>
    <w:rsid w:val="00BF127D"/>
    <w:rsid w:val="00BF1BC4"/>
    <w:rsid w:val="00BF4A30"/>
    <w:rsid w:val="00BF6BCC"/>
    <w:rsid w:val="00BF6E34"/>
    <w:rsid w:val="00BF7ADA"/>
    <w:rsid w:val="00C00B22"/>
    <w:rsid w:val="00C0240F"/>
    <w:rsid w:val="00C02A32"/>
    <w:rsid w:val="00C02EEA"/>
    <w:rsid w:val="00C04E56"/>
    <w:rsid w:val="00C05F8D"/>
    <w:rsid w:val="00C102AF"/>
    <w:rsid w:val="00C17D84"/>
    <w:rsid w:val="00C2464E"/>
    <w:rsid w:val="00C26E4E"/>
    <w:rsid w:val="00C30A92"/>
    <w:rsid w:val="00C31348"/>
    <w:rsid w:val="00C31951"/>
    <w:rsid w:val="00C31A7C"/>
    <w:rsid w:val="00C31D92"/>
    <w:rsid w:val="00C36BEA"/>
    <w:rsid w:val="00C40324"/>
    <w:rsid w:val="00C427C0"/>
    <w:rsid w:val="00C43726"/>
    <w:rsid w:val="00C542C6"/>
    <w:rsid w:val="00C56339"/>
    <w:rsid w:val="00C668E8"/>
    <w:rsid w:val="00C67E57"/>
    <w:rsid w:val="00C7130C"/>
    <w:rsid w:val="00C71514"/>
    <w:rsid w:val="00C733CD"/>
    <w:rsid w:val="00C76E1D"/>
    <w:rsid w:val="00C77960"/>
    <w:rsid w:val="00C8617C"/>
    <w:rsid w:val="00C9069F"/>
    <w:rsid w:val="00C93C6B"/>
    <w:rsid w:val="00C94236"/>
    <w:rsid w:val="00C9465B"/>
    <w:rsid w:val="00CA1FCE"/>
    <w:rsid w:val="00CA7DD3"/>
    <w:rsid w:val="00CB3E47"/>
    <w:rsid w:val="00CB5154"/>
    <w:rsid w:val="00CB6109"/>
    <w:rsid w:val="00CB69D2"/>
    <w:rsid w:val="00CC0A6E"/>
    <w:rsid w:val="00CC29A2"/>
    <w:rsid w:val="00CC5FB3"/>
    <w:rsid w:val="00CD086A"/>
    <w:rsid w:val="00CD3F9B"/>
    <w:rsid w:val="00CD61D6"/>
    <w:rsid w:val="00CE2CBA"/>
    <w:rsid w:val="00CE2E77"/>
    <w:rsid w:val="00CE717A"/>
    <w:rsid w:val="00CE7EDF"/>
    <w:rsid w:val="00CF1BB6"/>
    <w:rsid w:val="00CF471E"/>
    <w:rsid w:val="00CF5D71"/>
    <w:rsid w:val="00CF711F"/>
    <w:rsid w:val="00CF799D"/>
    <w:rsid w:val="00D01C07"/>
    <w:rsid w:val="00D023ED"/>
    <w:rsid w:val="00D03F83"/>
    <w:rsid w:val="00D06182"/>
    <w:rsid w:val="00D1021F"/>
    <w:rsid w:val="00D155EB"/>
    <w:rsid w:val="00D27AE4"/>
    <w:rsid w:val="00D32B9C"/>
    <w:rsid w:val="00D3311F"/>
    <w:rsid w:val="00D349E7"/>
    <w:rsid w:val="00D35B13"/>
    <w:rsid w:val="00D40408"/>
    <w:rsid w:val="00D434FC"/>
    <w:rsid w:val="00D46417"/>
    <w:rsid w:val="00D469BF"/>
    <w:rsid w:val="00D471F6"/>
    <w:rsid w:val="00D47B87"/>
    <w:rsid w:val="00D47C78"/>
    <w:rsid w:val="00D50C93"/>
    <w:rsid w:val="00D525AB"/>
    <w:rsid w:val="00D52B1B"/>
    <w:rsid w:val="00D5410E"/>
    <w:rsid w:val="00D54A14"/>
    <w:rsid w:val="00D5558E"/>
    <w:rsid w:val="00D55F65"/>
    <w:rsid w:val="00D604FA"/>
    <w:rsid w:val="00D61D32"/>
    <w:rsid w:val="00D71782"/>
    <w:rsid w:val="00D7485C"/>
    <w:rsid w:val="00D74AC4"/>
    <w:rsid w:val="00D8491B"/>
    <w:rsid w:val="00D85D3F"/>
    <w:rsid w:val="00D956D3"/>
    <w:rsid w:val="00D97EB0"/>
    <w:rsid w:val="00DA18AE"/>
    <w:rsid w:val="00DA40FD"/>
    <w:rsid w:val="00DA4F5E"/>
    <w:rsid w:val="00DA509C"/>
    <w:rsid w:val="00DB024D"/>
    <w:rsid w:val="00DB0581"/>
    <w:rsid w:val="00DB139E"/>
    <w:rsid w:val="00DB2A6F"/>
    <w:rsid w:val="00DB67C2"/>
    <w:rsid w:val="00DC02EE"/>
    <w:rsid w:val="00DC105E"/>
    <w:rsid w:val="00DC2970"/>
    <w:rsid w:val="00DC47DF"/>
    <w:rsid w:val="00DC4FE3"/>
    <w:rsid w:val="00DC6037"/>
    <w:rsid w:val="00DD454A"/>
    <w:rsid w:val="00DD4F55"/>
    <w:rsid w:val="00DD760E"/>
    <w:rsid w:val="00DE2622"/>
    <w:rsid w:val="00DE2626"/>
    <w:rsid w:val="00DE34D8"/>
    <w:rsid w:val="00DF7ABC"/>
    <w:rsid w:val="00DF7D09"/>
    <w:rsid w:val="00E0142C"/>
    <w:rsid w:val="00E04F64"/>
    <w:rsid w:val="00E05123"/>
    <w:rsid w:val="00E1506A"/>
    <w:rsid w:val="00E150E7"/>
    <w:rsid w:val="00E2186C"/>
    <w:rsid w:val="00E21B0B"/>
    <w:rsid w:val="00E25670"/>
    <w:rsid w:val="00E264AB"/>
    <w:rsid w:val="00E31417"/>
    <w:rsid w:val="00E35FA6"/>
    <w:rsid w:val="00E41E6F"/>
    <w:rsid w:val="00E4465E"/>
    <w:rsid w:val="00E46A94"/>
    <w:rsid w:val="00E53BEA"/>
    <w:rsid w:val="00E63CFA"/>
    <w:rsid w:val="00E808EA"/>
    <w:rsid w:val="00E80B30"/>
    <w:rsid w:val="00E82DFC"/>
    <w:rsid w:val="00E849E1"/>
    <w:rsid w:val="00E85B70"/>
    <w:rsid w:val="00E92AD2"/>
    <w:rsid w:val="00E97A4C"/>
    <w:rsid w:val="00EA031B"/>
    <w:rsid w:val="00EA137E"/>
    <w:rsid w:val="00EA1DFC"/>
    <w:rsid w:val="00EA26FF"/>
    <w:rsid w:val="00EA75F3"/>
    <w:rsid w:val="00EA7A2A"/>
    <w:rsid w:val="00EB2A7C"/>
    <w:rsid w:val="00EB5876"/>
    <w:rsid w:val="00EB6166"/>
    <w:rsid w:val="00EC31A8"/>
    <w:rsid w:val="00EC4BF3"/>
    <w:rsid w:val="00EC692E"/>
    <w:rsid w:val="00ED00C0"/>
    <w:rsid w:val="00ED0F0E"/>
    <w:rsid w:val="00EE01FE"/>
    <w:rsid w:val="00EE03E9"/>
    <w:rsid w:val="00EE2E70"/>
    <w:rsid w:val="00EE4C3A"/>
    <w:rsid w:val="00EE5A8C"/>
    <w:rsid w:val="00EE61E9"/>
    <w:rsid w:val="00EF2BCD"/>
    <w:rsid w:val="00EF5469"/>
    <w:rsid w:val="00EF6E00"/>
    <w:rsid w:val="00EF7FD4"/>
    <w:rsid w:val="00F01930"/>
    <w:rsid w:val="00F01F80"/>
    <w:rsid w:val="00F03123"/>
    <w:rsid w:val="00F04F55"/>
    <w:rsid w:val="00F07120"/>
    <w:rsid w:val="00F135DD"/>
    <w:rsid w:val="00F149D2"/>
    <w:rsid w:val="00F1542C"/>
    <w:rsid w:val="00F16280"/>
    <w:rsid w:val="00F177E3"/>
    <w:rsid w:val="00F20CF3"/>
    <w:rsid w:val="00F2192D"/>
    <w:rsid w:val="00F30255"/>
    <w:rsid w:val="00F3082A"/>
    <w:rsid w:val="00F33352"/>
    <w:rsid w:val="00F3357F"/>
    <w:rsid w:val="00F34810"/>
    <w:rsid w:val="00F3686B"/>
    <w:rsid w:val="00F41191"/>
    <w:rsid w:val="00F455BE"/>
    <w:rsid w:val="00F53F1A"/>
    <w:rsid w:val="00F551AD"/>
    <w:rsid w:val="00F56D9E"/>
    <w:rsid w:val="00F63B4D"/>
    <w:rsid w:val="00F650BA"/>
    <w:rsid w:val="00F7065A"/>
    <w:rsid w:val="00F7247F"/>
    <w:rsid w:val="00F76877"/>
    <w:rsid w:val="00F8209C"/>
    <w:rsid w:val="00F8309A"/>
    <w:rsid w:val="00F91267"/>
    <w:rsid w:val="00F93B9B"/>
    <w:rsid w:val="00F96B16"/>
    <w:rsid w:val="00F97903"/>
    <w:rsid w:val="00FA3EE0"/>
    <w:rsid w:val="00FA6D81"/>
    <w:rsid w:val="00FB292F"/>
    <w:rsid w:val="00FB2DF2"/>
    <w:rsid w:val="00FB5E77"/>
    <w:rsid w:val="00FB7992"/>
    <w:rsid w:val="00FC51C4"/>
    <w:rsid w:val="00FD0023"/>
    <w:rsid w:val="00FD027D"/>
    <w:rsid w:val="00FD3054"/>
    <w:rsid w:val="00FD58A2"/>
    <w:rsid w:val="00FE0142"/>
    <w:rsid w:val="00FE0782"/>
    <w:rsid w:val="00FE0BEA"/>
    <w:rsid w:val="00FE0F0E"/>
    <w:rsid w:val="00FE1586"/>
    <w:rsid w:val="00FE2637"/>
    <w:rsid w:val="00FE2A8F"/>
    <w:rsid w:val="00FE4880"/>
    <w:rsid w:val="00FE5D3E"/>
    <w:rsid w:val="00F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B5EB"/>
  <w15:docId w15:val="{050DEC3C-DCEF-40F9-BFAC-D31B5FCC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1A"/>
    <w:pPr>
      <w:spacing w:after="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DE2622"/>
    <w:pPr>
      <w:keepNext/>
      <w:spacing w:after="240"/>
      <w:jc w:val="center"/>
      <w:outlineLvl w:val="0"/>
    </w:pPr>
    <w:rPr>
      <w:rFonts w:eastAsiaTheme="majorEastAsia" w:cstheme="majorBidi"/>
      <w:b/>
      <w:bCs/>
      <w:kern w:val="32"/>
      <w:sz w:val="36"/>
      <w:szCs w:val="32"/>
    </w:rPr>
  </w:style>
  <w:style w:type="paragraph" w:styleId="Heading2">
    <w:name w:val="heading 2"/>
    <w:basedOn w:val="Normal"/>
    <w:next w:val="Normal"/>
    <w:link w:val="Heading2Char"/>
    <w:autoRedefine/>
    <w:unhideWhenUsed/>
    <w:qFormat/>
    <w:rsid w:val="007407D1"/>
    <w:pPr>
      <w:keepNext/>
      <w:keepLines/>
      <w:ind w:firstLine="720"/>
      <w:jc w:val="center"/>
      <w:outlineLvl w:val="1"/>
    </w:pPr>
    <w:rPr>
      <w:rFonts w:eastAsiaTheme="majorEastAsia" w:cstheme="majorBidi"/>
      <w:b/>
      <w:bCs/>
      <w:color w:val="0A0A0A"/>
      <w:sz w:val="28"/>
      <w:szCs w:val="28"/>
    </w:rPr>
  </w:style>
  <w:style w:type="paragraph" w:styleId="Heading3">
    <w:name w:val="heading 3"/>
    <w:basedOn w:val="Normal"/>
    <w:next w:val="Normal"/>
    <w:link w:val="Heading3Char"/>
    <w:autoRedefine/>
    <w:unhideWhenUsed/>
    <w:qFormat/>
    <w:rsid w:val="000273F3"/>
    <w:pPr>
      <w:keepNext/>
      <w:spacing w:line="240" w:lineRule="auto"/>
      <w:jc w:val="left"/>
      <w:outlineLvl w:val="2"/>
    </w:pPr>
    <w:rPr>
      <w:rFonts w:eastAsiaTheme="majorEastAsia" w:cstheme="majorBidi"/>
      <w:b/>
      <w:szCs w:val="24"/>
      <w:lang w:eastAsia="de-DE"/>
    </w:rPr>
  </w:style>
  <w:style w:type="paragraph" w:styleId="Heading4">
    <w:name w:val="heading 4"/>
    <w:basedOn w:val="Normal"/>
    <w:next w:val="Normal"/>
    <w:link w:val="Heading4Char"/>
    <w:autoRedefine/>
    <w:unhideWhenUsed/>
    <w:qFormat/>
    <w:rsid w:val="008C1F64"/>
    <w:pPr>
      <w:keepNext/>
      <w:keepLines/>
      <w:spacing w:line="240" w:lineRule="auto"/>
      <w:jc w:val="left"/>
      <w:outlineLvl w:val="3"/>
    </w:pPr>
    <w:rPr>
      <w:rFonts w:eastAsiaTheme="majorEastAsia" w:cstheme="majorBidi"/>
      <w:b/>
      <w:bCs/>
      <w:i/>
      <w:iCs/>
      <w:color w:val="000000" w:themeColor="text1"/>
      <w:sz w:val="26"/>
    </w:rPr>
  </w:style>
  <w:style w:type="paragraph" w:styleId="Heading5">
    <w:name w:val="heading 5"/>
    <w:basedOn w:val="Normal"/>
    <w:next w:val="Normal"/>
    <w:link w:val="Heading5Char"/>
    <w:autoRedefine/>
    <w:uiPriority w:val="9"/>
    <w:unhideWhenUsed/>
    <w:qFormat/>
    <w:rsid w:val="00CB6109"/>
    <w:pPr>
      <w:keepNext/>
      <w:keepLines/>
      <w:jc w:val="left"/>
      <w:outlineLvl w:val="4"/>
    </w:pPr>
    <w:rPr>
      <w:rFonts w:eastAsiaTheme="majorEastAsia" w:cstheme="majorBidi"/>
      <w:i/>
      <w:sz w:val="22"/>
    </w:rPr>
  </w:style>
  <w:style w:type="paragraph" w:styleId="Heading6">
    <w:name w:val="heading 6"/>
    <w:basedOn w:val="Normal"/>
    <w:next w:val="Normal"/>
    <w:link w:val="Heading6Char"/>
    <w:semiHidden/>
    <w:unhideWhenUsed/>
    <w:qFormat/>
    <w:rsid w:val="007518E6"/>
    <w:pPr>
      <w:spacing w:before="240" w:after="60" w:line="480" w:lineRule="auto"/>
      <w:outlineLvl w:val="5"/>
    </w:pPr>
    <w:rPr>
      <w:rFonts w:eastAsia="Times New Roman" w:cs="Times New Roman"/>
      <w:b/>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110BFB"/>
    <w:pPr>
      <w:pBdr>
        <w:bottom w:val="single" w:sz="8" w:space="4" w:color="4F81BD" w:themeColor="accent1"/>
      </w:pBdr>
      <w:spacing w:after="300"/>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rsid w:val="00110BFB"/>
    <w:rPr>
      <w:rFonts w:ascii="Times New Roman" w:eastAsiaTheme="majorEastAsia" w:hAnsi="Times New Roman" w:cstheme="majorBidi"/>
      <w:b/>
      <w:spacing w:val="5"/>
      <w:kern w:val="28"/>
      <w:sz w:val="48"/>
      <w:szCs w:val="52"/>
      <w:lang w:val="en-US"/>
    </w:rPr>
  </w:style>
  <w:style w:type="character" w:customStyle="1" w:styleId="Heading2Char">
    <w:name w:val="Heading 2 Char"/>
    <w:basedOn w:val="DefaultParagraphFont"/>
    <w:link w:val="Heading2"/>
    <w:rsid w:val="007407D1"/>
    <w:rPr>
      <w:rFonts w:ascii="Times New Roman" w:eastAsiaTheme="majorEastAsia" w:hAnsi="Times New Roman" w:cstheme="majorBidi"/>
      <w:b/>
      <w:bCs/>
      <w:color w:val="0A0A0A"/>
      <w:sz w:val="28"/>
      <w:szCs w:val="28"/>
    </w:rPr>
  </w:style>
  <w:style w:type="character" w:customStyle="1" w:styleId="Heading1Char">
    <w:name w:val="Heading 1 Char"/>
    <w:basedOn w:val="DefaultParagraphFont"/>
    <w:link w:val="Heading1"/>
    <w:uiPriority w:val="9"/>
    <w:rsid w:val="00DE2622"/>
    <w:rPr>
      <w:rFonts w:ascii="Times New Roman" w:eastAsiaTheme="majorEastAsia" w:hAnsi="Times New Roman" w:cstheme="majorBidi"/>
      <w:b/>
      <w:bCs/>
      <w:kern w:val="32"/>
      <w:sz w:val="36"/>
      <w:szCs w:val="32"/>
    </w:rPr>
  </w:style>
  <w:style w:type="character" w:customStyle="1" w:styleId="Heading3Char">
    <w:name w:val="Heading 3 Char"/>
    <w:basedOn w:val="DefaultParagraphFont"/>
    <w:link w:val="Heading3"/>
    <w:rsid w:val="000273F3"/>
    <w:rPr>
      <w:rFonts w:ascii="Times New Roman" w:eastAsiaTheme="majorEastAsia" w:hAnsi="Times New Roman" w:cstheme="majorBidi"/>
      <w:b/>
      <w:sz w:val="24"/>
      <w:szCs w:val="24"/>
      <w:lang w:eastAsia="de-DE"/>
    </w:rPr>
  </w:style>
  <w:style w:type="paragraph" w:customStyle="1" w:styleId="author">
    <w:name w:val="author"/>
    <w:basedOn w:val="Normal"/>
    <w:next w:val="Normal"/>
    <w:autoRedefine/>
    <w:qFormat/>
    <w:rsid w:val="00DE2622"/>
    <w:pPr>
      <w:spacing w:line="240" w:lineRule="auto"/>
      <w:jc w:val="center"/>
    </w:pPr>
    <w:rPr>
      <w:i/>
      <w:sz w:val="28"/>
    </w:rPr>
  </w:style>
  <w:style w:type="paragraph" w:styleId="Bibliography">
    <w:name w:val="Bibliography"/>
    <w:basedOn w:val="Normal"/>
    <w:next w:val="Normal"/>
    <w:autoRedefine/>
    <w:unhideWhenUsed/>
    <w:qFormat/>
    <w:rsid w:val="00596D3C"/>
    <w:pPr>
      <w:spacing w:line="240" w:lineRule="auto"/>
      <w:ind w:left="720" w:hanging="720"/>
      <w:outlineLvl w:val="0"/>
    </w:pPr>
  </w:style>
  <w:style w:type="paragraph" w:styleId="NoSpacing">
    <w:name w:val="No Spacing"/>
    <w:uiPriority w:val="1"/>
    <w:qFormat/>
    <w:rsid w:val="009D0976"/>
    <w:pPr>
      <w:spacing w:after="0" w:line="240" w:lineRule="auto"/>
      <w:jc w:val="both"/>
    </w:pPr>
    <w:rPr>
      <w:rFonts w:ascii="Times New Roman" w:hAnsi="Times New Roman"/>
      <w:sz w:val="24"/>
    </w:rPr>
  </w:style>
  <w:style w:type="paragraph" w:styleId="Quote">
    <w:name w:val="Quote"/>
    <w:basedOn w:val="Normal"/>
    <w:next w:val="Normal"/>
    <w:link w:val="QuoteChar"/>
    <w:autoRedefine/>
    <w:uiPriority w:val="29"/>
    <w:qFormat/>
    <w:rsid w:val="0043095E"/>
    <w:pPr>
      <w:spacing w:before="120" w:after="120" w:line="240" w:lineRule="auto"/>
      <w:ind w:left="720" w:right="720"/>
      <w:outlineLvl w:val="0"/>
    </w:pPr>
    <w:rPr>
      <w:iCs/>
    </w:rPr>
  </w:style>
  <w:style w:type="character" w:customStyle="1" w:styleId="QuoteChar">
    <w:name w:val="Quote Char"/>
    <w:basedOn w:val="DefaultParagraphFont"/>
    <w:link w:val="Quote"/>
    <w:uiPriority w:val="29"/>
    <w:rsid w:val="0043095E"/>
    <w:rPr>
      <w:rFonts w:ascii="Times New Roman" w:hAnsi="Times New Roman"/>
      <w:iCs/>
      <w:sz w:val="24"/>
      <w:lang w:val="en-US"/>
    </w:rPr>
  </w:style>
  <w:style w:type="paragraph" w:customStyle="1" w:styleId="Editors">
    <w:name w:val="Editors"/>
    <w:basedOn w:val="Normal"/>
    <w:qFormat/>
    <w:rsid w:val="00110BFB"/>
  </w:style>
  <w:style w:type="character" w:customStyle="1" w:styleId="Heading4Char">
    <w:name w:val="Heading 4 Char"/>
    <w:basedOn w:val="DefaultParagraphFont"/>
    <w:link w:val="Heading4"/>
    <w:rsid w:val="008C1F64"/>
    <w:rPr>
      <w:rFonts w:ascii="Times New Roman" w:eastAsiaTheme="majorEastAsia" w:hAnsi="Times New Roman" w:cstheme="majorBidi"/>
      <w:b/>
      <w:bCs/>
      <w:i/>
      <w:iCs/>
      <w:color w:val="000000" w:themeColor="text1"/>
      <w:sz w:val="26"/>
    </w:rPr>
  </w:style>
  <w:style w:type="paragraph" w:styleId="Header">
    <w:name w:val="header"/>
    <w:basedOn w:val="Normal"/>
    <w:link w:val="HeaderChar"/>
    <w:uiPriority w:val="99"/>
    <w:unhideWhenUsed/>
    <w:rsid w:val="00AE34CE"/>
    <w:pPr>
      <w:tabs>
        <w:tab w:val="center" w:pos="4513"/>
        <w:tab w:val="right" w:pos="9026"/>
      </w:tabs>
      <w:spacing w:line="240" w:lineRule="auto"/>
    </w:pPr>
  </w:style>
  <w:style w:type="character" w:customStyle="1" w:styleId="HeaderChar">
    <w:name w:val="Header Char"/>
    <w:basedOn w:val="DefaultParagraphFont"/>
    <w:link w:val="Header"/>
    <w:uiPriority w:val="99"/>
    <w:rsid w:val="00AE34CE"/>
    <w:rPr>
      <w:rFonts w:ascii="Times New Roman" w:hAnsi="Times New Roman"/>
      <w:sz w:val="24"/>
      <w:lang w:val="en-US"/>
    </w:rPr>
  </w:style>
  <w:style w:type="paragraph" w:styleId="Footer">
    <w:name w:val="footer"/>
    <w:basedOn w:val="Normal"/>
    <w:link w:val="FooterChar"/>
    <w:uiPriority w:val="99"/>
    <w:unhideWhenUsed/>
    <w:rsid w:val="00AE34CE"/>
    <w:pPr>
      <w:tabs>
        <w:tab w:val="center" w:pos="4513"/>
        <w:tab w:val="right" w:pos="9026"/>
      </w:tabs>
      <w:spacing w:line="240" w:lineRule="auto"/>
    </w:pPr>
  </w:style>
  <w:style w:type="character" w:customStyle="1" w:styleId="FooterChar">
    <w:name w:val="Footer Char"/>
    <w:basedOn w:val="DefaultParagraphFont"/>
    <w:link w:val="Footer"/>
    <w:uiPriority w:val="99"/>
    <w:rsid w:val="00AE34CE"/>
    <w:rPr>
      <w:rFonts w:ascii="Times New Roman" w:hAnsi="Times New Roman"/>
      <w:sz w:val="24"/>
      <w:lang w:val="en-US"/>
    </w:rPr>
  </w:style>
  <w:style w:type="paragraph" w:customStyle="1" w:styleId="Leftheader">
    <w:name w:val="Left header"/>
    <w:basedOn w:val="Normal"/>
    <w:next w:val="Normal"/>
    <w:autoRedefine/>
    <w:qFormat/>
    <w:rsid w:val="00BA179D"/>
    <w:pPr>
      <w:jc w:val="left"/>
    </w:pPr>
    <w:rPr>
      <w:b/>
      <w:sz w:val="20"/>
    </w:rPr>
  </w:style>
  <w:style w:type="paragraph" w:customStyle="1" w:styleId="rightheader">
    <w:name w:val="right header"/>
    <w:basedOn w:val="Normal"/>
    <w:next w:val="Normal"/>
    <w:autoRedefine/>
    <w:qFormat/>
    <w:rsid w:val="00BA179D"/>
    <w:pPr>
      <w:jc w:val="right"/>
    </w:pPr>
    <w:rPr>
      <w:b/>
      <w:sz w:val="20"/>
    </w:rPr>
  </w:style>
  <w:style w:type="paragraph" w:styleId="FootnoteText">
    <w:name w:val="footnote text"/>
    <w:basedOn w:val="Normal"/>
    <w:link w:val="FootnoteTextChar"/>
    <w:unhideWhenUsed/>
    <w:qFormat/>
    <w:rsid w:val="00A36CE3"/>
    <w:pPr>
      <w:spacing w:before="240" w:line="240" w:lineRule="auto"/>
      <w:ind w:left="720" w:hanging="720"/>
    </w:pPr>
    <w:rPr>
      <w:rFonts w:cs="Times New Roman"/>
      <w:sz w:val="20"/>
      <w:szCs w:val="20"/>
    </w:rPr>
  </w:style>
  <w:style w:type="character" w:customStyle="1" w:styleId="FootnoteTextChar">
    <w:name w:val="Footnote Text Char"/>
    <w:basedOn w:val="DefaultParagraphFont"/>
    <w:link w:val="FootnoteText"/>
    <w:rsid w:val="00A36CE3"/>
    <w:rPr>
      <w:rFonts w:ascii="Times New Roman" w:hAnsi="Times New Roman" w:cs="Times New Roman"/>
      <w:sz w:val="20"/>
      <w:szCs w:val="20"/>
    </w:rPr>
  </w:style>
  <w:style w:type="character" w:customStyle="1" w:styleId="Heading6Char">
    <w:name w:val="Heading 6 Char"/>
    <w:basedOn w:val="DefaultParagraphFont"/>
    <w:link w:val="Heading6"/>
    <w:semiHidden/>
    <w:rsid w:val="007518E6"/>
    <w:rPr>
      <w:rFonts w:ascii="Times New Roman" w:eastAsia="Times New Roman" w:hAnsi="Times New Roman" w:cs="Times New Roman"/>
      <w:b/>
      <w:kern w:val="32"/>
      <w:lang w:val="en-US"/>
    </w:rPr>
  </w:style>
  <w:style w:type="character" w:styleId="Hyperlink">
    <w:name w:val="Hyperlink"/>
    <w:basedOn w:val="DefaultParagraphFont"/>
    <w:uiPriority w:val="99"/>
    <w:unhideWhenUsed/>
    <w:rsid w:val="007518E6"/>
    <w:rPr>
      <w:color w:val="0000FF"/>
      <w:u w:val="single"/>
    </w:rPr>
  </w:style>
  <w:style w:type="character" w:styleId="FollowedHyperlink">
    <w:name w:val="FollowedHyperlink"/>
    <w:basedOn w:val="DefaultParagraphFont"/>
    <w:uiPriority w:val="99"/>
    <w:semiHidden/>
    <w:unhideWhenUsed/>
    <w:rsid w:val="007518E6"/>
    <w:rPr>
      <w:color w:val="800080" w:themeColor="followedHyperlink"/>
      <w:u w:val="single"/>
    </w:rPr>
  </w:style>
  <w:style w:type="paragraph" w:styleId="NormalWeb">
    <w:name w:val="Normal (Web)"/>
    <w:basedOn w:val="Normal"/>
    <w:uiPriority w:val="99"/>
    <w:unhideWhenUsed/>
    <w:rsid w:val="007518E6"/>
    <w:pPr>
      <w:spacing w:before="100" w:beforeAutospacing="1" w:after="100" w:afterAutospacing="1" w:line="480" w:lineRule="auto"/>
    </w:pPr>
    <w:rPr>
      <w:rFonts w:eastAsia="Times New Roman" w:cs="Times New Roman"/>
      <w:szCs w:val="24"/>
    </w:rPr>
  </w:style>
  <w:style w:type="paragraph" w:styleId="TOC1">
    <w:name w:val="toc 1"/>
    <w:basedOn w:val="Normal"/>
    <w:next w:val="Normal"/>
    <w:autoRedefine/>
    <w:semiHidden/>
    <w:unhideWhenUsed/>
    <w:rsid w:val="007518E6"/>
    <w:pPr>
      <w:spacing w:line="480" w:lineRule="auto"/>
    </w:pPr>
    <w:rPr>
      <w:rFonts w:eastAsia="Times New Roman" w:cs="Times New Roman"/>
      <w:bCs/>
      <w:kern w:val="32"/>
      <w:szCs w:val="24"/>
    </w:rPr>
  </w:style>
  <w:style w:type="paragraph" w:styleId="TOC2">
    <w:name w:val="toc 2"/>
    <w:basedOn w:val="Normal"/>
    <w:next w:val="Normal"/>
    <w:autoRedefine/>
    <w:semiHidden/>
    <w:unhideWhenUsed/>
    <w:rsid w:val="007518E6"/>
    <w:pPr>
      <w:spacing w:line="480" w:lineRule="auto"/>
      <w:ind w:left="240"/>
    </w:pPr>
    <w:rPr>
      <w:rFonts w:eastAsia="Times New Roman" w:cs="Times New Roman"/>
      <w:bCs/>
      <w:kern w:val="32"/>
      <w:szCs w:val="24"/>
    </w:rPr>
  </w:style>
  <w:style w:type="paragraph" w:styleId="TOC3">
    <w:name w:val="toc 3"/>
    <w:basedOn w:val="Normal"/>
    <w:next w:val="Normal"/>
    <w:autoRedefine/>
    <w:semiHidden/>
    <w:unhideWhenUsed/>
    <w:rsid w:val="007518E6"/>
    <w:pPr>
      <w:spacing w:line="480" w:lineRule="auto"/>
      <w:ind w:left="480"/>
    </w:pPr>
    <w:rPr>
      <w:rFonts w:eastAsia="Times New Roman" w:cs="Times New Roman"/>
      <w:bCs/>
      <w:kern w:val="32"/>
      <w:szCs w:val="24"/>
    </w:rPr>
  </w:style>
  <w:style w:type="paragraph" w:styleId="TOC4">
    <w:name w:val="toc 4"/>
    <w:basedOn w:val="Normal"/>
    <w:next w:val="Normal"/>
    <w:autoRedefine/>
    <w:semiHidden/>
    <w:unhideWhenUsed/>
    <w:rsid w:val="007518E6"/>
    <w:pPr>
      <w:spacing w:line="480" w:lineRule="auto"/>
      <w:ind w:left="720"/>
    </w:pPr>
    <w:rPr>
      <w:rFonts w:eastAsia="Times New Roman" w:cs="Times New Roman"/>
      <w:bCs/>
      <w:kern w:val="32"/>
      <w:szCs w:val="24"/>
    </w:rPr>
  </w:style>
  <w:style w:type="paragraph" w:styleId="ListBullet">
    <w:name w:val="List Bullet"/>
    <w:basedOn w:val="Normal"/>
    <w:autoRedefine/>
    <w:semiHidden/>
    <w:unhideWhenUsed/>
    <w:rsid w:val="007518E6"/>
    <w:pPr>
      <w:tabs>
        <w:tab w:val="left" w:pos="0"/>
        <w:tab w:val="num" w:pos="360"/>
      </w:tabs>
      <w:spacing w:line="480" w:lineRule="auto"/>
      <w:ind w:left="360" w:hanging="360"/>
    </w:pPr>
    <w:rPr>
      <w:rFonts w:eastAsia="Times New Roman" w:cs="Times New Roman"/>
      <w:szCs w:val="24"/>
    </w:rPr>
  </w:style>
  <w:style w:type="paragraph" w:styleId="ListNumber">
    <w:name w:val="List Number"/>
    <w:basedOn w:val="Normal"/>
    <w:semiHidden/>
    <w:unhideWhenUsed/>
    <w:rsid w:val="007518E6"/>
    <w:pPr>
      <w:tabs>
        <w:tab w:val="left" w:pos="0"/>
        <w:tab w:val="num" w:pos="360"/>
      </w:tabs>
      <w:spacing w:line="480" w:lineRule="auto"/>
      <w:ind w:left="360" w:hanging="360"/>
    </w:pPr>
    <w:rPr>
      <w:rFonts w:eastAsia="Times New Roman" w:cs="Times New Roman"/>
      <w:szCs w:val="24"/>
    </w:rPr>
  </w:style>
  <w:style w:type="paragraph" w:styleId="ListBullet2">
    <w:name w:val="List Bullet 2"/>
    <w:basedOn w:val="Normal"/>
    <w:autoRedefine/>
    <w:semiHidden/>
    <w:unhideWhenUsed/>
    <w:rsid w:val="007518E6"/>
    <w:pPr>
      <w:tabs>
        <w:tab w:val="left" w:pos="0"/>
        <w:tab w:val="num" w:pos="720"/>
      </w:tabs>
      <w:spacing w:line="480" w:lineRule="auto"/>
      <w:ind w:left="720" w:hanging="360"/>
    </w:pPr>
    <w:rPr>
      <w:rFonts w:eastAsia="Times New Roman" w:cs="Times New Roman"/>
      <w:szCs w:val="24"/>
    </w:rPr>
  </w:style>
  <w:style w:type="paragraph" w:styleId="ListBullet3">
    <w:name w:val="List Bullet 3"/>
    <w:basedOn w:val="Normal"/>
    <w:autoRedefine/>
    <w:semiHidden/>
    <w:unhideWhenUsed/>
    <w:rsid w:val="007518E6"/>
    <w:pPr>
      <w:tabs>
        <w:tab w:val="left" w:pos="0"/>
        <w:tab w:val="num" w:pos="1080"/>
      </w:tabs>
      <w:spacing w:line="480" w:lineRule="auto"/>
      <w:ind w:left="1080" w:hanging="360"/>
    </w:pPr>
    <w:rPr>
      <w:rFonts w:eastAsia="Times New Roman" w:cs="Times New Roman"/>
      <w:szCs w:val="24"/>
    </w:rPr>
  </w:style>
  <w:style w:type="paragraph" w:styleId="ListBullet4">
    <w:name w:val="List Bullet 4"/>
    <w:basedOn w:val="Normal"/>
    <w:autoRedefine/>
    <w:semiHidden/>
    <w:unhideWhenUsed/>
    <w:rsid w:val="007518E6"/>
    <w:pPr>
      <w:tabs>
        <w:tab w:val="left" w:pos="0"/>
        <w:tab w:val="num" w:pos="1440"/>
      </w:tabs>
      <w:spacing w:line="480" w:lineRule="auto"/>
      <w:ind w:left="1440" w:hanging="360"/>
    </w:pPr>
    <w:rPr>
      <w:rFonts w:eastAsia="Times New Roman" w:cs="Times New Roman"/>
      <w:szCs w:val="24"/>
    </w:rPr>
  </w:style>
  <w:style w:type="paragraph" w:styleId="ListBullet5">
    <w:name w:val="List Bullet 5"/>
    <w:basedOn w:val="Normal"/>
    <w:autoRedefine/>
    <w:semiHidden/>
    <w:unhideWhenUsed/>
    <w:rsid w:val="007518E6"/>
    <w:pPr>
      <w:tabs>
        <w:tab w:val="left" w:pos="0"/>
        <w:tab w:val="num" w:pos="1800"/>
      </w:tabs>
      <w:spacing w:line="480" w:lineRule="auto"/>
      <w:ind w:left="1800" w:hanging="360"/>
    </w:pPr>
    <w:rPr>
      <w:rFonts w:eastAsia="Times New Roman" w:cs="Times New Roman"/>
      <w:szCs w:val="24"/>
    </w:rPr>
  </w:style>
  <w:style w:type="paragraph" w:styleId="ListNumber2">
    <w:name w:val="List Number 2"/>
    <w:basedOn w:val="Normal"/>
    <w:semiHidden/>
    <w:unhideWhenUsed/>
    <w:rsid w:val="007518E6"/>
    <w:pPr>
      <w:tabs>
        <w:tab w:val="left" w:pos="0"/>
        <w:tab w:val="num" w:pos="720"/>
      </w:tabs>
      <w:spacing w:line="480" w:lineRule="auto"/>
      <w:ind w:left="720" w:hanging="360"/>
    </w:pPr>
    <w:rPr>
      <w:rFonts w:eastAsia="Times New Roman" w:cs="Times New Roman"/>
      <w:szCs w:val="24"/>
    </w:rPr>
  </w:style>
  <w:style w:type="paragraph" w:styleId="ListNumber3">
    <w:name w:val="List Number 3"/>
    <w:basedOn w:val="Normal"/>
    <w:semiHidden/>
    <w:unhideWhenUsed/>
    <w:rsid w:val="007518E6"/>
    <w:pPr>
      <w:tabs>
        <w:tab w:val="left" w:pos="0"/>
        <w:tab w:val="num" w:pos="1080"/>
      </w:tabs>
      <w:spacing w:line="480" w:lineRule="auto"/>
      <w:ind w:left="1080" w:hanging="360"/>
    </w:pPr>
    <w:rPr>
      <w:rFonts w:eastAsia="Times New Roman" w:cs="Times New Roman"/>
      <w:szCs w:val="24"/>
    </w:rPr>
  </w:style>
  <w:style w:type="paragraph" w:styleId="ListNumber4">
    <w:name w:val="List Number 4"/>
    <w:basedOn w:val="Normal"/>
    <w:semiHidden/>
    <w:unhideWhenUsed/>
    <w:rsid w:val="007518E6"/>
    <w:pPr>
      <w:tabs>
        <w:tab w:val="left" w:pos="0"/>
        <w:tab w:val="num" w:pos="1440"/>
      </w:tabs>
      <w:spacing w:line="480" w:lineRule="auto"/>
      <w:ind w:left="1440" w:hanging="360"/>
    </w:pPr>
    <w:rPr>
      <w:rFonts w:eastAsia="Times New Roman" w:cs="Times New Roman"/>
      <w:szCs w:val="24"/>
    </w:rPr>
  </w:style>
  <w:style w:type="paragraph" w:styleId="ListNumber5">
    <w:name w:val="List Number 5"/>
    <w:basedOn w:val="Normal"/>
    <w:semiHidden/>
    <w:unhideWhenUsed/>
    <w:rsid w:val="007518E6"/>
    <w:pPr>
      <w:tabs>
        <w:tab w:val="left" w:pos="0"/>
        <w:tab w:val="num" w:pos="1800"/>
      </w:tabs>
      <w:spacing w:line="480" w:lineRule="auto"/>
      <w:ind w:left="1800" w:hanging="360"/>
    </w:pPr>
    <w:rPr>
      <w:rFonts w:eastAsia="Times New Roman" w:cs="Times New Roman"/>
      <w:szCs w:val="24"/>
    </w:rPr>
  </w:style>
  <w:style w:type="paragraph" w:styleId="Signature">
    <w:name w:val="Signature"/>
    <w:basedOn w:val="Normal"/>
    <w:link w:val="SignatureChar"/>
    <w:semiHidden/>
    <w:unhideWhenUsed/>
    <w:rsid w:val="007518E6"/>
    <w:pPr>
      <w:tabs>
        <w:tab w:val="left" w:pos="0"/>
      </w:tabs>
      <w:spacing w:line="480" w:lineRule="auto"/>
      <w:ind w:left="4252"/>
    </w:pPr>
    <w:rPr>
      <w:rFonts w:eastAsia="Times New Roman" w:cs="Times New Roman"/>
      <w:szCs w:val="24"/>
    </w:rPr>
  </w:style>
  <w:style w:type="character" w:customStyle="1" w:styleId="SignatureChar">
    <w:name w:val="Signature Char"/>
    <w:basedOn w:val="DefaultParagraphFont"/>
    <w:link w:val="Signature"/>
    <w:semiHidden/>
    <w:rsid w:val="007518E6"/>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7518E6"/>
    <w:pPr>
      <w:widowControl w:val="0"/>
      <w:tabs>
        <w:tab w:val="left" w:pos="-720"/>
      </w:tabs>
      <w:suppressAutoHyphens/>
      <w:snapToGrid w:val="0"/>
      <w:spacing w:line="480" w:lineRule="auto"/>
    </w:pPr>
    <w:rPr>
      <w:rFonts w:ascii="Univers" w:eastAsia="Times New Roman" w:hAnsi="Univers" w:cs="Times New Roman"/>
      <w:bCs/>
      <w:kern w:val="32"/>
      <w:sz w:val="22"/>
      <w:szCs w:val="20"/>
    </w:rPr>
  </w:style>
  <w:style w:type="character" w:customStyle="1" w:styleId="BodyTextChar">
    <w:name w:val="Body Text Char"/>
    <w:basedOn w:val="DefaultParagraphFont"/>
    <w:link w:val="BodyText"/>
    <w:semiHidden/>
    <w:rsid w:val="007518E6"/>
    <w:rPr>
      <w:rFonts w:ascii="Univers" w:eastAsia="Times New Roman" w:hAnsi="Univers" w:cs="Times New Roman"/>
      <w:bCs/>
      <w:kern w:val="32"/>
      <w:szCs w:val="20"/>
    </w:rPr>
  </w:style>
  <w:style w:type="paragraph" w:styleId="Subtitle">
    <w:name w:val="Subtitle"/>
    <w:basedOn w:val="Normal"/>
    <w:link w:val="SubtitleChar"/>
    <w:autoRedefine/>
    <w:qFormat/>
    <w:rsid w:val="007518E6"/>
    <w:pPr>
      <w:spacing w:line="480" w:lineRule="auto"/>
      <w:jc w:val="center"/>
    </w:pPr>
    <w:rPr>
      <w:rFonts w:eastAsia="Times New Roman" w:cs="Times New Roman"/>
      <w:b/>
      <w:bCs/>
      <w:sz w:val="32"/>
      <w:szCs w:val="32"/>
    </w:rPr>
  </w:style>
  <w:style w:type="character" w:customStyle="1" w:styleId="SubtitleChar">
    <w:name w:val="Subtitle Char"/>
    <w:basedOn w:val="DefaultParagraphFont"/>
    <w:link w:val="Subtitle"/>
    <w:rsid w:val="007518E6"/>
    <w:rPr>
      <w:rFonts w:ascii="Times New Roman" w:eastAsia="Times New Roman" w:hAnsi="Times New Roman" w:cs="Times New Roman"/>
      <w:b/>
      <w:bCs/>
      <w:sz w:val="32"/>
      <w:szCs w:val="32"/>
      <w:lang w:val="en-US"/>
    </w:rPr>
  </w:style>
  <w:style w:type="paragraph" w:styleId="Salutation">
    <w:name w:val="Salutation"/>
    <w:basedOn w:val="Normal"/>
    <w:next w:val="Normal"/>
    <w:link w:val="SalutationChar"/>
    <w:semiHidden/>
    <w:unhideWhenUsed/>
    <w:rsid w:val="007518E6"/>
    <w:pPr>
      <w:tabs>
        <w:tab w:val="left" w:pos="0"/>
      </w:tabs>
      <w:spacing w:line="480" w:lineRule="auto"/>
    </w:pPr>
    <w:rPr>
      <w:rFonts w:eastAsia="Times New Roman" w:cs="Times New Roman"/>
      <w:szCs w:val="24"/>
    </w:rPr>
  </w:style>
  <w:style w:type="character" w:customStyle="1" w:styleId="SalutationChar">
    <w:name w:val="Salutation Char"/>
    <w:basedOn w:val="DefaultParagraphFont"/>
    <w:link w:val="Salutation"/>
    <w:semiHidden/>
    <w:rsid w:val="007518E6"/>
    <w:rPr>
      <w:rFonts w:ascii="Times New Roman" w:eastAsia="Times New Roman" w:hAnsi="Times New Roman" w:cs="Times New Roman"/>
      <w:sz w:val="24"/>
      <w:szCs w:val="24"/>
      <w:lang w:val="en-US"/>
    </w:rPr>
  </w:style>
  <w:style w:type="paragraph" w:styleId="BlockText">
    <w:name w:val="Block Text"/>
    <w:basedOn w:val="Normal"/>
    <w:semiHidden/>
    <w:unhideWhenUsed/>
    <w:rsid w:val="007518E6"/>
    <w:pPr>
      <w:spacing w:after="120" w:line="480" w:lineRule="auto"/>
      <w:ind w:left="1440" w:right="1440"/>
    </w:pPr>
    <w:rPr>
      <w:rFonts w:eastAsia="Times New Roman" w:cs="Arial"/>
      <w:bCs/>
      <w:kern w:val="32"/>
      <w:szCs w:val="24"/>
    </w:rPr>
  </w:style>
  <w:style w:type="paragraph" w:styleId="DocumentMap">
    <w:name w:val="Document Map"/>
    <w:basedOn w:val="Normal"/>
    <w:link w:val="DocumentMapChar"/>
    <w:semiHidden/>
    <w:unhideWhenUsed/>
    <w:rsid w:val="007518E6"/>
    <w:pPr>
      <w:shd w:val="clear" w:color="auto" w:fill="000080"/>
      <w:spacing w:line="480" w:lineRule="auto"/>
    </w:pPr>
    <w:rPr>
      <w:rFonts w:ascii="Tahoma" w:eastAsia="Times New Roman" w:hAnsi="Tahoma" w:cs="Tahoma"/>
      <w:bCs/>
      <w:kern w:val="32"/>
      <w:sz w:val="20"/>
      <w:szCs w:val="20"/>
    </w:rPr>
  </w:style>
  <w:style w:type="character" w:customStyle="1" w:styleId="DocumentMapChar">
    <w:name w:val="Document Map Char"/>
    <w:basedOn w:val="DefaultParagraphFont"/>
    <w:link w:val="DocumentMap"/>
    <w:semiHidden/>
    <w:rsid w:val="007518E6"/>
    <w:rPr>
      <w:rFonts w:ascii="Tahoma" w:eastAsia="Times New Roman" w:hAnsi="Tahoma" w:cs="Tahoma"/>
      <w:bCs/>
      <w:kern w:val="32"/>
      <w:sz w:val="20"/>
      <w:szCs w:val="20"/>
      <w:shd w:val="clear" w:color="auto" w:fill="000080"/>
      <w:lang w:val="en-US"/>
    </w:rPr>
  </w:style>
  <w:style w:type="character" w:customStyle="1" w:styleId="Normal1Char">
    <w:name w:val="Normal1 Char"/>
    <w:basedOn w:val="DefaultParagraphFont"/>
    <w:link w:val="Normal1"/>
    <w:locked/>
    <w:rsid w:val="007518E6"/>
    <w:rPr>
      <w:rFonts w:ascii="Tms Rmn" w:hAnsi="Tms Rmn"/>
      <w:noProof/>
      <w:lang w:val="en-US"/>
    </w:rPr>
  </w:style>
  <w:style w:type="paragraph" w:customStyle="1" w:styleId="Normal1">
    <w:name w:val="Normal1"/>
    <w:link w:val="Normal1Char"/>
    <w:rsid w:val="007518E6"/>
    <w:pPr>
      <w:spacing w:after="0" w:line="240" w:lineRule="auto"/>
    </w:pPr>
    <w:rPr>
      <w:rFonts w:ascii="Tms Rmn" w:hAnsi="Tms Rmn"/>
      <w:noProof/>
      <w:lang w:val="en-US"/>
    </w:rPr>
  </w:style>
  <w:style w:type="paragraph" w:customStyle="1" w:styleId="Body2">
    <w:name w:val="Body 2"/>
    <w:basedOn w:val="Normal"/>
    <w:rsid w:val="007518E6"/>
    <w:pPr>
      <w:spacing w:after="220" w:line="264" w:lineRule="auto"/>
      <w:ind w:left="709"/>
    </w:pPr>
    <w:rPr>
      <w:rFonts w:ascii="Arial" w:eastAsia="Times New Roman" w:hAnsi="Arial" w:cs="Times New Roman"/>
      <w:bCs/>
      <w:kern w:val="28"/>
      <w:sz w:val="21"/>
      <w:szCs w:val="20"/>
    </w:rPr>
  </w:style>
  <w:style w:type="paragraph" w:customStyle="1" w:styleId="Level1">
    <w:name w:val="Level 1"/>
    <w:basedOn w:val="Normal"/>
    <w:next w:val="Body2"/>
    <w:rsid w:val="007518E6"/>
    <w:pPr>
      <w:tabs>
        <w:tab w:val="num" w:pos="709"/>
      </w:tabs>
      <w:spacing w:after="220" w:line="264" w:lineRule="auto"/>
      <w:ind w:left="709" w:hanging="709"/>
      <w:outlineLvl w:val="0"/>
    </w:pPr>
    <w:rPr>
      <w:rFonts w:ascii="Arial" w:eastAsia="Times New Roman" w:hAnsi="Arial" w:cs="Times New Roman"/>
      <w:kern w:val="28"/>
      <w:sz w:val="21"/>
      <w:szCs w:val="20"/>
    </w:rPr>
  </w:style>
  <w:style w:type="paragraph" w:customStyle="1" w:styleId="Author0">
    <w:name w:val="Author"/>
    <w:basedOn w:val="Normal"/>
    <w:next w:val="Normal"/>
    <w:autoRedefine/>
    <w:qFormat/>
    <w:rsid w:val="00DB024D"/>
    <w:pPr>
      <w:spacing w:before="480" w:after="720"/>
      <w:jc w:val="center"/>
    </w:pPr>
    <w:rPr>
      <w:rFonts w:eastAsia="Times New Roman" w:cs="Times New Roman"/>
      <w:bCs/>
      <w:i/>
      <w:color w:val="000000"/>
      <w:kern w:val="32"/>
      <w:sz w:val="28"/>
      <w:szCs w:val="24"/>
    </w:rPr>
  </w:style>
  <w:style w:type="paragraph" w:customStyle="1" w:styleId="Quote1">
    <w:name w:val="Quote1"/>
    <w:basedOn w:val="Normal"/>
    <w:autoRedefine/>
    <w:rsid w:val="007518E6"/>
    <w:pPr>
      <w:spacing w:line="240" w:lineRule="auto"/>
      <w:ind w:left="360" w:right="360"/>
    </w:pPr>
    <w:rPr>
      <w:rFonts w:eastAsia="Times New Roman" w:cs="Times New Roman"/>
      <w:bCs/>
      <w:kern w:val="32"/>
      <w:szCs w:val="24"/>
    </w:rPr>
  </w:style>
  <w:style w:type="paragraph" w:customStyle="1" w:styleId="Indent1">
    <w:name w:val="Indent 1"/>
    <w:basedOn w:val="Normal"/>
    <w:autoRedefine/>
    <w:rsid w:val="008D5EF5"/>
    <w:pPr>
      <w:tabs>
        <w:tab w:val="left" w:pos="0"/>
      </w:tabs>
      <w:spacing w:after="240" w:line="240" w:lineRule="auto"/>
      <w:ind w:left="720" w:right="720"/>
    </w:pPr>
    <w:rPr>
      <w:rFonts w:eastAsia="Times New Roman" w:cs="Arial"/>
      <w:bCs/>
      <w:kern w:val="32"/>
      <w:szCs w:val="24"/>
    </w:rPr>
  </w:style>
  <w:style w:type="paragraph" w:customStyle="1" w:styleId="Hanging">
    <w:name w:val="Hanging"/>
    <w:basedOn w:val="Normal"/>
    <w:next w:val="Normal"/>
    <w:autoRedefine/>
    <w:rsid w:val="007518E6"/>
    <w:pPr>
      <w:numPr>
        <w:numId w:val="1"/>
      </w:numPr>
      <w:spacing w:line="480" w:lineRule="auto"/>
    </w:pPr>
    <w:rPr>
      <w:rFonts w:eastAsia="Times New Roman" w:cs="Times New Roman"/>
      <w:bCs/>
      <w:kern w:val="32"/>
      <w:szCs w:val="24"/>
    </w:rPr>
  </w:style>
  <w:style w:type="paragraph" w:customStyle="1" w:styleId="ChapterTitle">
    <w:name w:val="Chapter Title"/>
    <w:basedOn w:val="Normal"/>
    <w:next w:val="Normal"/>
    <w:autoRedefine/>
    <w:rsid w:val="007518E6"/>
    <w:pPr>
      <w:spacing w:line="480" w:lineRule="auto"/>
      <w:jc w:val="center"/>
    </w:pPr>
    <w:rPr>
      <w:rFonts w:eastAsia="Times New Roman" w:cs="Times New Roman"/>
      <w:b/>
      <w:bCs/>
      <w:i/>
      <w:kern w:val="32"/>
      <w:szCs w:val="24"/>
    </w:rPr>
  </w:style>
  <w:style w:type="paragraph" w:customStyle="1" w:styleId="indent10">
    <w:name w:val="indent 1"/>
    <w:basedOn w:val="Normal"/>
    <w:next w:val="Normal"/>
    <w:autoRedefine/>
    <w:rsid w:val="007518E6"/>
    <w:pPr>
      <w:tabs>
        <w:tab w:val="left" w:pos="-720"/>
      </w:tabs>
      <w:suppressAutoHyphens/>
      <w:spacing w:line="480" w:lineRule="auto"/>
      <w:ind w:left="720" w:right="720"/>
    </w:pPr>
    <w:rPr>
      <w:rFonts w:eastAsia="Times New Roman" w:cs="Arial"/>
      <w:b/>
      <w:bCs/>
      <w:spacing w:val="-3"/>
      <w:kern w:val="32"/>
      <w:szCs w:val="24"/>
    </w:rPr>
  </w:style>
  <w:style w:type="paragraph" w:customStyle="1" w:styleId="Numbered">
    <w:name w:val="Numbered"/>
    <w:basedOn w:val="Normal"/>
    <w:next w:val="Normal"/>
    <w:autoRedefine/>
    <w:rsid w:val="007518E6"/>
    <w:pPr>
      <w:spacing w:line="480" w:lineRule="auto"/>
      <w:ind w:left="720" w:hanging="720"/>
    </w:pPr>
    <w:rPr>
      <w:rFonts w:eastAsia="Times New Roman" w:cs="Times New Roman"/>
      <w:bCs/>
      <w:kern w:val="32"/>
      <w:szCs w:val="24"/>
    </w:rPr>
  </w:style>
  <w:style w:type="paragraph" w:customStyle="1" w:styleId="Lettered">
    <w:name w:val="Lettered"/>
    <w:basedOn w:val="Normal"/>
    <w:autoRedefine/>
    <w:rsid w:val="007518E6"/>
    <w:pPr>
      <w:spacing w:line="480" w:lineRule="auto"/>
      <w:ind w:left="1440"/>
    </w:pPr>
    <w:rPr>
      <w:rFonts w:eastAsia="Times New Roman" w:cs="Times New Roman"/>
      <w:bCs/>
      <w:kern w:val="32"/>
      <w:szCs w:val="24"/>
    </w:rPr>
  </w:style>
  <w:style w:type="paragraph" w:customStyle="1" w:styleId="Label">
    <w:name w:val="Label"/>
    <w:basedOn w:val="Normal"/>
    <w:autoRedefine/>
    <w:rsid w:val="007518E6"/>
    <w:pPr>
      <w:spacing w:line="480" w:lineRule="auto"/>
      <w:jc w:val="center"/>
    </w:pPr>
    <w:rPr>
      <w:rFonts w:eastAsia="Times New Roman" w:cs="Times New Roman"/>
      <w:bCs/>
      <w:i/>
      <w:kern w:val="32"/>
      <w:szCs w:val="24"/>
    </w:rPr>
  </w:style>
  <w:style w:type="paragraph" w:customStyle="1" w:styleId="Declaration">
    <w:name w:val="Declaration"/>
    <w:basedOn w:val="Normal"/>
    <w:autoRedefine/>
    <w:rsid w:val="007518E6"/>
    <w:rPr>
      <w:rFonts w:eastAsia="Times New Roman" w:cs="Times New Roman"/>
      <w:bCs/>
      <w:kern w:val="32"/>
      <w:szCs w:val="24"/>
    </w:rPr>
  </w:style>
  <w:style w:type="character" w:styleId="FootnoteReference">
    <w:name w:val="footnote reference"/>
    <w:basedOn w:val="DefaultParagraphFont"/>
    <w:uiPriority w:val="99"/>
    <w:semiHidden/>
    <w:unhideWhenUsed/>
    <w:rsid w:val="007518E6"/>
    <w:rPr>
      <w:rFonts w:ascii="Courier New" w:hAnsi="Courier New" w:cs="Courier New" w:hint="default"/>
      <w:noProof w:val="0"/>
      <w:sz w:val="24"/>
      <w:vertAlign w:val="superscript"/>
      <w:lang w:val="en-US"/>
    </w:rPr>
  </w:style>
  <w:style w:type="character" w:customStyle="1" w:styleId="Heading1Text">
    <w:name w:val="Heading 1 Text"/>
    <w:basedOn w:val="DefaultParagraphFont"/>
    <w:rsid w:val="007518E6"/>
    <w:rPr>
      <w:b/>
      <w:bCs w:val="0"/>
      <w:smallCaps/>
    </w:rPr>
  </w:style>
  <w:style w:type="character" w:customStyle="1" w:styleId="FootnoteTextChar1">
    <w:name w:val="Footnote Text Char1"/>
    <w:basedOn w:val="DefaultParagraphFont"/>
    <w:uiPriority w:val="99"/>
    <w:semiHidden/>
    <w:rsid w:val="007518E6"/>
    <w:rPr>
      <w:bCs/>
      <w:kern w:val="32"/>
      <w:lang w:val="en-US" w:eastAsia="en-US"/>
    </w:rPr>
  </w:style>
  <w:style w:type="table" w:styleId="TableGrid">
    <w:name w:val="Table Grid"/>
    <w:basedOn w:val="TableNormal"/>
    <w:rsid w:val="007518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5CE"/>
    <w:rPr>
      <w:sz w:val="16"/>
      <w:szCs w:val="16"/>
    </w:rPr>
  </w:style>
  <w:style w:type="paragraph" w:styleId="CommentText">
    <w:name w:val="annotation text"/>
    <w:basedOn w:val="Normal"/>
    <w:link w:val="CommentTextChar"/>
    <w:uiPriority w:val="99"/>
    <w:semiHidden/>
    <w:unhideWhenUsed/>
    <w:rsid w:val="002805CE"/>
    <w:pPr>
      <w:spacing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805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05CE"/>
    <w:rPr>
      <w:b/>
      <w:bCs/>
    </w:rPr>
  </w:style>
  <w:style w:type="character" w:customStyle="1" w:styleId="CommentSubjectChar">
    <w:name w:val="Comment Subject Char"/>
    <w:basedOn w:val="CommentTextChar"/>
    <w:link w:val="CommentSubject"/>
    <w:uiPriority w:val="99"/>
    <w:semiHidden/>
    <w:rsid w:val="002805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05CE"/>
    <w:pPr>
      <w:spacing w:line="240" w:lineRule="auto"/>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805CE"/>
    <w:rPr>
      <w:rFonts w:ascii="Tahoma" w:eastAsia="Calibri" w:hAnsi="Tahoma" w:cs="Tahoma"/>
      <w:sz w:val="16"/>
      <w:szCs w:val="16"/>
    </w:rPr>
  </w:style>
  <w:style w:type="paragraph" w:styleId="EndnoteText">
    <w:name w:val="endnote text"/>
    <w:basedOn w:val="Normal"/>
    <w:link w:val="EndnoteTextChar"/>
    <w:uiPriority w:val="99"/>
    <w:unhideWhenUsed/>
    <w:rsid w:val="002805CE"/>
    <w:pPr>
      <w:spacing w:line="240" w:lineRule="auto"/>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805CE"/>
    <w:rPr>
      <w:rFonts w:ascii="Calibri" w:eastAsia="Calibri" w:hAnsi="Calibri" w:cs="Times New Roman"/>
      <w:sz w:val="20"/>
      <w:szCs w:val="20"/>
    </w:rPr>
  </w:style>
  <w:style w:type="character" w:styleId="EndnoteReference">
    <w:name w:val="endnote reference"/>
    <w:basedOn w:val="DefaultParagraphFont"/>
    <w:uiPriority w:val="99"/>
    <w:unhideWhenUsed/>
    <w:rsid w:val="002805CE"/>
    <w:rPr>
      <w:vertAlign w:val="superscript"/>
    </w:rPr>
  </w:style>
  <w:style w:type="paragraph" w:styleId="ListParagraph">
    <w:name w:val="List Paragraph"/>
    <w:basedOn w:val="Normal"/>
    <w:autoRedefine/>
    <w:uiPriority w:val="34"/>
    <w:qFormat/>
    <w:rsid w:val="00474B3E"/>
    <w:pPr>
      <w:numPr>
        <w:numId w:val="29"/>
      </w:numPr>
      <w:spacing w:after="240"/>
      <w:contextualSpacing/>
    </w:pPr>
    <w:rPr>
      <w:rFonts w:eastAsia="Calibri" w:cs="Times New Roman"/>
    </w:rPr>
  </w:style>
  <w:style w:type="paragraph" w:customStyle="1" w:styleId="Default">
    <w:name w:val="Default"/>
    <w:rsid w:val="002805CE"/>
    <w:pPr>
      <w:autoSpaceDE w:val="0"/>
      <w:autoSpaceDN w:val="0"/>
      <w:adjustRightInd w:val="0"/>
      <w:spacing w:after="0" w:line="240" w:lineRule="auto"/>
    </w:pPr>
    <w:rPr>
      <w:rFonts w:ascii="Code" w:eastAsia="Calibri" w:hAnsi="Code" w:cs="Code"/>
      <w:color w:val="000000"/>
      <w:sz w:val="24"/>
      <w:szCs w:val="24"/>
      <w:lang w:val="en-ZA"/>
    </w:rPr>
  </w:style>
  <w:style w:type="paragraph" w:styleId="Revision">
    <w:name w:val="Revision"/>
    <w:hidden/>
    <w:uiPriority w:val="99"/>
    <w:semiHidden/>
    <w:rsid w:val="002805CE"/>
    <w:pPr>
      <w:spacing w:after="0" w:line="240" w:lineRule="auto"/>
    </w:pPr>
    <w:rPr>
      <w:rFonts w:ascii="Times New Roman" w:hAnsi="Times New Roman"/>
      <w:sz w:val="24"/>
      <w:lang w:val="en-US"/>
    </w:rPr>
  </w:style>
  <w:style w:type="character" w:styleId="HTMLCite">
    <w:name w:val="HTML Cite"/>
    <w:basedOn w:val="DefaultParagraphFont"/>
    <w:uiPriority w:val="99"/>
    <w:semiHidden/>
    <w:unhideWhenUsed/>
    <w:rsid w:val="002805CE"/>
    <w:rPr>
      <w:i/>
      <w:iCs/>
    </w:rPr>
  </w:style>
  <w:style w:type="character" w:customStyle="1" w:styleId="Heading5Char">
    <w:name w:val="Heading 5 Char"/>
    <w:basedOn w:val="DefaultParagraphFont"/>
    <w:link w:val="Heading5"/>
    <w:uiPriority w:val="9"/>
    <w:rsid w:val="00CB6109"/>
    <w:rPr>
      <w:rFonts w:ascii="Times New Roman" w:eastAsiaTheme="majorEastAsia" w:hAnsi="Times New Roman" w:cstheme="majorBidi"/>
      <w:i/>
    </w:rPr>
  </w:style>
  <w:style w:type="paragraph" w:customStyle="1" w:styleId="p1">
    <w:name w:val="p1"/>
    <w:basedOn w:val="Normal"/>
    <w:rsid w:val="00D525AB"/>
    <w:pPr>
      <w:spacing w:before="100" w:beforeAutospacing="1" w:after="100" w:afterAutospacing="1" w:line="240" w:lineRule="auto"/>
      <w:jc w:val="left"/>
    </w:pPr>
    <w:rPr>
      <w:rFonts w:eastAsia="Times New Roman" w:cs="Times New Roman"/>
      <w:szCs w:val="24"/>
      <w:lang w:val="en-US"/>
    </w:rPr>
  </w:style>
  <w:style w:type="character" w:styleId="Emphasis">
    <w:name w:val="Emphasis"/>
    <w:uiPriority w:val="20"/>
    <w:qFormat/>
    <w:rsid w:val="00D525AB"/>
    <w:rPr>
      <w:i/>
      <w:iCs/>
    </w:rPr>
  </w:style>
  <w:style w:type="character" w:styleId="Strong">
    <w:name w:val="Strong"/>
    <w:uiPriority w:val="22"/>
    <w:qFormat/>
    <w:rsid w:val="00D525AB"/>
    <w:rPr>
      <w:b/>
      <w:bCs/>
    </w:rPr>
  </w:style>
  <w:style w:type="character" w:customStyle="1" w:styleId="fl-heading-text">
    <w:name w:val="fl-heading-text"/>
    <w:basedOn w:val="DefaultParagraphFont"/>
    <w:rsid w:val="00D525AB"/>
  </w:style>
  <w:style w:type="character" w:customStyle="1" w:styleId="hgkelc">
    <w:name w:val="hgkelc"/>
    <w:basedOn w:val="DefaultParagraphFont"/>
    <w:rsid w:val="005A4CCD"/>
  </w:style>
  <w:style w:type="character" w:customStyle="1" w:styleId="p13n-desktop-sims-fbtfbt-desktoptitle-truncate1ppam">
    <w:name w:val="_p13n-desktop-sims-fbt_fbt-desktop_title-truncate__1ppam"/>
    <w:basedOn w:val="DefaultParagraphFont"/>
    <w:rsid w:val="00211019"/>
  </w:style>
  <w:style w:type="paragraph" w:customStyle="1" w:styleId="Normal2">
    <w:name w:val="Normal2"/>
    <w:basedOn w:val="Normal"/>
    <w:link w:val="normalChar"/>
    <w:autoRedefine/>
    <w:qFormat/>
    <w:rsid w:val="00596D3C"/>
  </w:style>
  <w:style w:type="character" w:customStyle="1" w:styleId="normalChar">
    <w:name w:val="normal Char"/>
    <w:basedOn w:val="DefaultParagraphFont"/>
    <w:link w:val="Normal2"/>
    <w:rsid w:val="00596D3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3110">
      <w:bodyDiv w:val="1"/>
      <w:marLeft w:val="0"/>
      <w:marRight w:val="0"/>
      <w:marTop w:val="0"/>
      <w:marBottom w:val="0"/>
      <w:divBdr>
        <w:top w:val="none" w:sz="0" w:space="0" w:color="auto"/>
        <w:left w:val="none" w:sz="0" w:space="0" w:color="auto"/>
        <w:bottom w:val="none" w:sz="0" w:space="0" w:color="auto"/>
        <w:right w:val="none" w:sz="0" w:space="0" w:color="auto"/>
      </w:divBdr>
      <w:divsChild>
        <w:div w:id="435060369">
          <w:marLeft w:val="0"/>
          <w:marRight w:val="0"/>
          <w:marTop w:val="0"/>
          <w:marBottom w:val="0"/>
          <w:divBdr>
            <w:top w:val="none" w:sz="0" w:space="0" w:color="auto"/>
            <w:left w:val="none" w:sz="0" w:space="0" w:color="auto"/>
            <w:bottom w:val="none" w:sz="0" w:space="0" w:color="auto"/>
            <w:right w:val="none" w:sz="0" w:space="0" w:color="auto"/>
          </w:divBdr>
        </w:div>
      </w:divsChild>
    </w:div>
    <w:div w:id="804811966">
      <w:bodyDiv w:val="1"/>
      <w:marLeft w:val="0"/>
      <w:marRight w:val="0"/>
      <w:marTop w:val="0"/>
      <w:marBottom w:val="0"/>
      <w:divBdr>
        <w:top w:val="none" w:sz="0" w:space="0" w:color="auto"/>
        <w:left w:val="none" w:sz="0" w:space="0" w:color="auto"/>
        <w:bottom w:val="none" w:sz="0" w:space="0" w:color="auto"/>
        <w:right w:val="none" w:sz="0" w:space="0" w:color="auto"/>
      </w:divBdr>
      <w:divsChild>
        <w:div w:id="1985505015">
          <w:marLeft w:val="0"/>
          <w:marRight w:val="0"/>
          <w:marTop w:val="0"/>
          <w:marBottom w:val="0"/>
          <w:divBdr>
            <w:top w:val="none" w:sz="0" w:space="0" w:color="auto"/>
            <w:left w:val="none" w:sz="0" w:space="0" w:color="auto"/>
            <w:bottom w:val="none" w:sz="0" w:space="0" w:color="auto"/>
            <w:right w:val="none" w:sz="0" w:space="0" w:color="auto"/>
          </w:divBdr>
          <w:divsChild>
            <w:div w:id="1636252979">
              <w:marLeft w:val="0"/>
              <w:marRight w:val="0"/>
              <w:marTop w:val="0"/>
              <w:marBottom w:val="0"/>
              <w:divBdr>
                <w:top w:val="none" w:sz="0" w:space="0" w:color="auto"/>
                <w:left w:val="none" w:sz="0" w:space="0" w:color="auto"/>
                <w:bottom w:val="none" w:sz="0" w:space="0" w:color="auto"/>
                <w:right w:val="none" w:sz="0" w:space="0" w:color="auto"/>
              </w:divBdr>
              <w:divsChild>
                <w:div w:id="19932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3209">
          <w:marLeft w:val="0"/>
          <w:marRight w:val="0"/>
          <w:marTop w:val="0"/>
          <w:marBottom w:val="0"/>
          <w:divBdr>
            <w:top w:val="none" w:sz="0" w:space="0" w:color="auto"/>
            <w:left w:val="none" w:sz="0" w:space="0" w:color="auto"/>
            <w:bottom w:val="none" w:sz="0" w:space="0" w:color="auto"/>
            <w:right w:val="none" w:sz="0" w:space="0" w:color="auto"/>
          </w:divBdr>
          <w:divsChild>
            <w:div w:id="2065131840">
              <w:marLeft w:val="0"/>
              <w:marRight w:val="0"/>
              <w:marTop w:val="0"/>
              <w:marBottom w:val="0"/>
              <w:divBdr>
                <w:top w:val="none" w:sz="0" w:space="0" w:color="auto"/>
                <w:left w:val="none" w:sz="0" w:space="0" w:color="auto"/>
                <w:bottom w:val="none" w:sz="0" w:space="0" w:color="auto"/>
                <w:right w:val="none" w:sz="0" w:space="0" w:color="auto"/>
              </w:divBdr>
              <w:divsChild>
                <w:div w:id="1163013980">
                  <w:marLeft w:val="0"/>
                  <w:marRight w:val="0"/>
                  <w:marTop w:val="0"/>
                  <w:marBottom w:val="0"/>
                  <w:divBdr>
                    <w:top w:val="none" w:sz="0" w:space="0" w:color="auto"/>
                    <w:left w:val="none" w:sz="0" w:space="0" w:color="auto"/>
                    <w:bottom w:val="none" w:sz="0" w:space="0" w:color="auto"/>
                    <w:right w:val="none" w:sz="0" w:space="0" w:color="auto"/>
                  </w:divBdr>
                  <w:divsChild>
                    <w:div w:id="2141220787">
                      <w:marLeft w:val="0"/>
                      <w:marRight w:val="0"/>
                      <w:marTop w:val="0"/>
                      <w:marBottom w:val="0"/>
                      <w:divBdr>
                        <w:top w:val="none" w:sz="0" w:space="0" w:color="auto"/>
                        <w:left w:val="none" w:sz="0" w:space="0" w:color="auto"/>
                        <w:bottom w:val="none" w:sz="0" w:space="0" w:color="auto"/>
                        <w:right w:val="none" w:sz="0" w:space="0" w:color="auto"/>
                      </w:divBdr>
                      <w:divsChild>
                        <w:div w:id="11813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5673">
      <w:bodyDiv w:val="1"/>
      <w:marLeft w:val="0"/>
      <w:marRight w:val="0"/>
      <w:marTop w:val="0"/>
      <w:marBottom w:val="0"/>
      <w:divBdr>
        <w:top w:val="none" w:sz="0" w:space="0" w:color="auto"/>
        <w:left w:val="none" w:sz="0" w:space="0" w:color="auto"/>
        <w:bottom w:val="none" w:sz="0" w:space="0" w:color="auto"/>
        <w:right w:val="none" w:sz="0" w:space="0" w:color="auto"/>
      </w:divBdr>
      <w:divsChild>
        <w:div w:id="889727087">
          <w:marLeft w:val="0"/>
          <w:marRight w:val="0"/>
          <w:marTop w:val="0"/>
          <w:marBottom w:val="0"/>
          <w:divBdr>
            <w:top w:val="none" w:sz="0" w:space="0" w:color="auto"/>
            <w:left w:val="none" w:sz="0" w:space="0" w:color="auto"/>
            <w:bottom w:val="none" w:sz="0" w:space="0" w:color="auto"/>
            <w:right w:val="none" w:sz="0" w:space="0" w:color="auto"/>
          </w:divBdr>
        </w:div>
      </w:divsChild>
    </w:div>
    <w:div w:id="1620993300">
      <w:bodyDiv w:val="1"/>
      <w:marLeft w:val="0"/>
      <w:marRight w:val="0"/>
      <w:marTop w:val="0"/>
      <w:marBottom w:val="0"/>
      <w:divBdr>
        <w:top w:val="none" w:sz="0" w:space="0" w:color="auto"/>
        <w:left w:val="none" w:sz="0" w:space="0" w:color="auto"/>
        <w:bottom w:val="none" w:sz="0" w:space="0" w:color="auto"/>
        <w:right w:val="none" w:sz="0" w:space="0" w:color="auto"/>
      </w:divBdr>
    </w:div>
    <w:div w:id="1859151984">
      <w:bodyDiv w:val="1"/>
      <w:marLeft w:val="0"/>
      <w:marRight w:val="0"/>
      <w:marTop w:val="0"/>
      <w:marBottom w:val="0"/>
      <w:divBdr>
        <w:top w:val="none" w:sz="0" w:space="0" w:color="auto"/>
        <w:left w:val="none" w:sz="0" w:space="0" w:color="auto"/>
        <w:bottom w:val="none" w:sz="0" w:space="0" w:color="auto"/>
        <w:right w:val="none" w:sz="0" w:space="0" w:color="auto"/>
      </w:divBdr>
      <w:divsChild>
        <w:div w:id="1472481051">
          <w:marLeft w:val="0"/>
          <w:marRight w:val="0"/>
          <w:marTop w:val="0"/>
          <w:marBottom w:val="0"/>
          <w:divBdr>
            <w:top w:val="none" w:sz="0" w:space="0" w:color="auto"/>
            <w:left w:val="none" w:sz="0" w:space="0" w:color="auto"/>
            <w:bottom w:val="none" w:sz="0" w:space="0" w:color="auto"/>
            <w:right w:val="none" w:sz="0" w:space="0" w:color="auto"/>
          </w:divBdr>
        </w:div>
      </w:divsChild>
    </w:div>
    <w:div w:id="1867064511">
      <w:bodyDiv w:val="1"/>
      <w:marLeft w:val="0"/>
      <w:marRight w:val="0"/>
      <w:marTop w:val="0"/>
      <w:marBottom w:val="0"/>
      <w:divBdr>
        <w:top w:val="none" w:sz="0" w:space="0" w:color="auto"/>
        <w:left w:val="none" w:sz="0" w:space="0" w:color="auto"/>
        <w:bottom w:val="none" w:sz="0" w:space="0" w:color="auto"/>
        <w:right w:val="none" w:sz="0" w:space="0" w:color="auto"/>
      </w:divBdr>
    </w:div>
    <w:div w:id="21207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der" TargetMode="External"/><Relationship Id="rId13" Type="http://schemas.openxmlformats.org/officeDocument/2006/relationships/hyperlink" Target="https://en.wikipedia.org/wiki/Death_penalty" TargetMode="External"/><Relationship Id="rId18" Type="http://schemas.openxmlformats.org/officeDocument/2006/relationships/hyperlink" Target="http://dx.doi.org/10.1353/pbm.2002.0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t.ly/3QichNi" TargetMode="External"/><Relationship Id="rId7" Type="http://schemas.openxmlformats.org/officeDocument/2006/relationships/endnotes" Target="endnotes.xml"/><Relationship Id="rId12" Type="http://schemas.openxmlformats.org/officeDocument/2006/relationships/hyperlink" Target="https://en.wikipedia.org/wiki/Same-sex_marriage" TargetMode="External"/><Relationship Id="rId17" Type="http://schemas.openxmlformats.org/officeDocument/2006/relationships/hyperlink" Target="https://doi.org/10.1093/0198297688.003.000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alck.org/equal-rights-case/" TargetMode="External"/><Relationship Id="rId20" Type="http://schemas.openxmlformats.org/officeDocument/2006/relationships/hyperlink" Target="https://doi.org/10.1186/s12889-021-10314-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GB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93/icon/mox062" TargetMode="External"/><Relationship Id="rId23" Type="http://schemas.openxmlformats.org/officeDocument/2006/relationships/header" Target="header1.xml"/><Relationship Id="rId10" Type="http://schemas.openxmlformats.org/officeDocument/2006/relationships/hyperlink" Target="https://en.wikipedia.org/wiki/Gender_identity" TargetMode="External"/><Relationship Id="rId19" Type="http://schemas.openxmlformats.org/officeDocument/2006/relationships/hyperlink" Target="https://bit.ly/2BANFhX" TargetMode="External"/><Relationship Id="rId4" Type="http://schemas.openxmlformats.org/officeDocument/2006/relationships/settings" Target="settings.xml"/><Relationship Id="rId9" Type="http://schemas.openxmlformats.org/officeDocument/2006/relationships/hyperlink" Target="https://en.wikipedia.org/wiki/Assigned_sex" TargetMode="External"/><Relationship Id="rId14" Type="http://schemas.openxmlformats.org/officeDocument/2006/relationships/hyperlink" Target="https://doi.org/10.1080/10894160.2016.1148471" TargetMode="External"/><Relationship Id="rId22" Type="http://schemas.openxmlformats.org/officeDocument/2006/relationships/hyperlink" Target="https://doi.org/10.2307/2786979"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bc.in/3wdIiiz" TargetMode="External"/><Relationship Id="rId3" Type="http://schemas.openxmlformats.org/officeDocument/2006/relationships/hyperlink" Target="https://doi.org/10.1093/0198297688.003.0003" TargetMode="External"/><Relationship Id="rId7" Type="http://schemas.openxmlformats.org/officeDocument/2006/relationships/hyperlink" Target="https://bit.ly/3dLqBQP" TargetMode="External"/><Relationship Id="rId2" Type="http://schemas.openxmlformats.org/officeDocument/2006/relationships/hyperlink" Target="https://doi.org/10.2307/2786979" TargetMode="External"/><Relationship Id="rId1" Type="http://schemas.openxmlformats.org/officeDocument/2006/relationships/hyperlink" Target="http://dx.doi.org/10.1353/pbm.2002.0011" TargetMode="External"/><Relationship Id="rId6" Type="http://schemas.openxmlformats.org/officeDocument/2006/relationships/hyperlink" Target="https://doi.org/10.1093/icon/mox062" TargetMode="External"/><Relationship Id="rId11" Type="http://schemas.openxmlformats.org/officeDocument/2006/relationships/hyperlink" Target="https://doi.org/10.1186/s12889-021-10314-w" TargetMode="External"/><Relationship Id="rId5" Type="http://schemas.openxmlformats.org/officeDocument/2006/relationships/hyperlink" Target="https://bit.ly/3QichNi" TargetMode="External"/><Relationship Id="rId10" Type="http://schemas.openxmlformats.org/officeDocument/2006/relationships/hyperlink" Target="https://doi.org/10.1080/10894160.2016.1148471" TargetMode="External"/><Relationship Id="rId4" Type="http://schemas.openxmlformats.org/officeDocument/2006/relationships/hyperlink" Target="https://www.galck.org/equal-rights" TargetMode="External"/><Relationship Id="rId9" Type="http://schemas.openxmlformats.org/officeDocument/2006/relationships/hyperlink" Target="https://bit.ly/2BANF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B8C3F9F-7E49-4137-AB86-E5520106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7547</Words>
  <Characters>43020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LGBTQI Rights in Kenya: Gains from the 2010 Constitution</dc:title>
  <dc:creator>Oduor</dc:creator>
  <cp:lastModifiedBy>Dr Francis Owakah</cp:lastModifiedBy>
  <cp:revision>2</cp:revision>
  <dcterms:created xsi:type="dcterms:W3CDTF">2022-09-27T10:24:00Z</dcterms:created>
  <dcterms:modified xsi:type="dcterms:W3CDTF">2022-09-27T10:24:00Z</dcterms:modified>
</cp:coreProperties>
</file>