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93" w:rsidRPr="00260700" w:rsidRDefault="00C37693" w:rsidP="00260700">
      <w:pPr>
        <w:pStyle w:val="Heading1"/>
      </w:pPr>
      <w:r w:rsidRPr="00260700">
        <w:t xml:space="preserve">No </w:t>
      </w:r>
      <w:r w:rsidR="00260700" w:rsidRPr="00260700">
        <w:t xml:space="preserve">Water, No Life:  </w:t>
      </w:r>
      <w:r w:rsidRPr="00260700">
        <w:t xml:space="preserve">On </w:t>
      </w:r>
      <w:r w:rsidR="00260700" w:rsidRPr="00260700">
        <w:t>the Basic Human Right to Water</w:t>
      </w:r>
    </w:p>
    <w:p w:rsidR="00A67E6E" w:rsidRPr="0041523E" w:rsidRDefault="00A67E6E" w:rsidP="002643BC">
      <w:pPr>
        <w:pStyle w:val="author"/>
        <w:rPr>
          <w:sz w:val="28"/>
          <w:szCs w:val="28"/>
        </w:rPr>
      </w:pPr>
      <w:r w:rsidRPr="002643BC">
        <w:rPr>
          <w:i/>
          <w:sz w:val="28"/>
          <w:szCs w:val="28"/>
        </w:rPr>
        <w:t>Bård A. Andreassen</w:t>
      </w:r>
      <w:r w:rsidR="0041523E">
        <w:rPr>
          <w:rStyle w:val="FootnoteReference"/>
          <w:i/>
          <w:szCs w:val="28"/>
        </w:rPr>
        <w:footnoteReference w:id="1"/>
      </w:r>
    </w:p>
    <w:p w:rsidR="00A67E6E" w:rsidRPr="002643BC" w:rsidRDefault="00A67E6E" w:rsidP="002643BC">
      <w:pPr>
        <w:pStyle w:val="author"/>
        <w:rPr>
          <w:i/>
          <w:sz w:val="28"/>
          <w:szCs w:val="28"/>
        </w:rPr>
      </w:pPr>
      <w:r w:rsidRPr="002643BC">
        <w:rPr>
          <w:i/>
          <w:sz w:val="28"/>
          <w:szCs w:val="28"/>
        </w:rPr>
        <w:t xml:space="preserve">Director of the Norwegian </w:t>
      </w:r>
      <w:r w:rsidR="0045612A" w:rsidRPr="002643BC">
        <w:rPr>
          <w:i/>
          <w:sz w:val="28"/>
          <w:szCs w:val="28"/>
        </w:rPr>
        <w:t>Centre</w:t>
      </w:r>
      <w:r w:rsidRPr="002643BC">
        <w:rPr>
          <w:i/>
          <w:sz w:val="28"/>
          <w:szCs w:val="28"/>
        </w:rPr>
        <w:t xml:space="preserve"> for Human Rights, </w:t>
      </w:r>
    </w:p>
    <w:p w:rsidR="00A67E6E" w:rsidRPr="002643BC" w:rsidRDefault="00A67E6E" w:rsidP="002643BC">
      <w:pPr>
        <w:pStyle w:val="author"/>
        <w:rPr>
          <w:i/>
          <w:sz w:val="28"/>
          <w:szCs w:val="28"/>
        </w:rPr>
      </w:pPr>
      <w:r w:rsidRPr="002643BC">
        <w:rPr>
          <w:i/>
          <w:sz w:val="28"/>
          <w:szCs w:val="28"/>
        </w:rPr>
        <w:t>University of Oslo</w:t>
      </w:r>
    </w:p>
    <w:p w:rsidR="00A67E6E" w:rsidRPr="002643BC" w:rsidRDefault="00A67E6E" w:rsidP="002643BC">
      <w:pPr>
        <w:pStyle w:val="author"/>
        <w:rPr>
          <w:i/>
          <w:sz w:val="28"/>
          <w:szCs w:val="28"/>
        </w:rPr>
      </w:pPr>
      <w:r w:rsidRPr="002643BC">
        <w:rPr>
          <w:i/>
          <w:sz w:val="28"/>
          <w:szCs w:val="28"/>
        </w:rPr>
        <w:t xml:space="preserve">Email: </w:t>
      </w:r>
      <w:hyperlink r:id="rId8" w:history="1">
        <w:r w:rsidRPr="002643BC">
          <w:rPr>
            <w:rStyle w:val="Hyperlink"/>
            <w:i/>
            <w:color w:val="auto"/>
            <w:sz w:val="28"/>
            <w:szCs w:val="28"/>
            <w:u w:val="none"/>
          </w:rPr>
          <w:t>B.a.andreassen@nchr.uio.no</w:t>
        </w:r>
      </w:hyperlink>
    </w:p>
    <w:p w:rsidR="007450E6" w:rsidRPr="002643BC" w:rsidRDefault="00A67E6E" w:rsidP="002643BC">
      <w:pPr>
        <w:pStyle w:val="author"/>
        <w:rPr>
          <w:i/>
          <w:sz w:val="28"/>
          <w:szCs w:val="28"/>
        </w:rPr>
      </w:pPr>
      <w:r w:rsidRPr="002643BC">
        <w:rPr>
          <w:i/>
          <w:sz w:val="28"/>
          <w:szCs w:val="28"/>
        </w:rPr>
        <w:br w:type="page"/>
      </w:r>
    </w:p>
    <w:p w:rsidR="00C37693" w:rsidRPr="00FD0B79" w:rsidRDefault="00C37693" w:rsidP="00260700">
      <w:pPr>
        <w:pStyle w:val="Heading2"/>
      </w:pPr>
      <w:r w:rsidRPr="00FD0B79">
        <w:lastRenderedPageBreak/>
        <w:t>Abstract</w:t>
      </w:r>
    </w:p>
    <w:p w:rsidR="00CB5F36" w:rsidRDefault="00C37693" w:rsidP="00CB5F36">
      <w:pPr>
        <w:spacing w:after="240"/>
        <w:rPr>
          <w:rFonts w:cs="Times New Roman"/>
          <w:szCs w:val="24"/>
        </w:rPr>
      </w:pPr>
      <w:r w:rsidRPr="00FD0B79">
        <w:rPr>
          <w:rFonts w:cs="Times New Roman"/>
        </w:rPr>
        <w:t>This article argues that the right to water is basic human right. It discusses the right in context of international human rights law, and details how the right should be interpreted in broad sense with reference to the right to an adequate standard of living and the right to food. The right is multidimensional, and entails both consumption and production needs. At the same time, the right to water is threatened by international conflict and contemporary climate changes.</w:t>
      </w:r>
      <w:r w:rsidR="00CB5F36">
        <w:rPr>
          <w:rFonts w:cs="Times New Roman"/>
        </w:rPr>
        <w:t xml:space="preserve"> </w:t>
      </w:r>
      <w:r w:rsidR="00841782">
        <w:rPr>
          <w:rFonts w:cs="Times New Roman"/>
        </w:rPr>
        <w:t>Thus, t</w:t>
      </w:r>
      <w:r w:rsidR="00CB5F36">
        <w:rPr>
          <w:rFonts w:cs="Times New Roman"/>
        </w:rPr>
        <w:t xml:space="preserve">he </w:t>
      </w:r>
      <w:r w:rsidR="00CB5F36">
        <w:rPr>
          <w:rFonts w:cs="Times New Roman"/>
          <w:szCs w:val="24"/>
        </w:rPr>
        <w:t xml:space="preserve">right to water should thus be interpreted in a broader sense to include not only adequate standard of living and the right to food, but also entail for production needs. </w:t>
      </w:r>
    </w:p>
    <w:p w:rsidR="00C37693" w:rsidRPr="00FD0B79" w:rsidRDefault="00C37693" w:rsidP="007E5F79">
      <w:pPr>
        <w:rPr>
          <w:rFonts w:cs="Times New Roman"/>
        </w:rPr>
      </w:pPr>
    </w:p>
    <w:p w:rsidR="00C37693" w:rsidRPr="00FD0B79" w:rsidRDefault="00C37693" w:rsidP="007E5F79">
      <w:pPr>
        <w:rPr>
          <w:rFonts w:cs="Times New Roman"/>
        </w:rPr>
      </w:pPr>
    </w:p>
    <w:p w:rsidR="009A7CC3" w:rsidRPr="00FD0B79" w:rsidRDefault="009A7CC3" w:rsidP="007450E6">
      <w:pPr>
        <w:rPr>
          <w:rFonts w:cs="Times New Roman"/>
        </w:rPr>
      </w:pPr>
    </w:p>
    <w:p w:rsidR="007450E6" w:rsidRPr="00FD0B79" w:rsidRDefault="00C37693" w:rsidP="00260700">
      <w:pPr>
        <w:pStyle w:val="Heading2"/>
      </w:pPr>
      <w:r w:rsidRPr="00FD0B79">
        <w:t>Key words</w:t>
      </w:r>
    </w:p>
    <w:p w:rsidR="007450E6" w:rsidRPr="00FD0B79" w:rsidRDefault="00C37693" w:rsidP="007450E6">
      <w:pPr>
        <w:rPr>
          <w:rFonts w:cs="Times New Roman"/>
        </w:rPr>
      </w:pPr>
      <w:r w:rsidRPr="00FD0B79">
        <w:rPr>
          <w:rFonts w:cs="Times New Roman"/>
        </w:rPr>
        <w:t>Basic human rights, right to water, consumption and production needs, international conflicts</w:t>
      </w:r>
      <w:r w:rsidR="002753FD" w:rsidRPr="00FD0B79">
        <w:rPr>
          <w:rFonts w:cs="Times New Roman"/>
        </w:rPr>
        <w:t>.</w:t>
      </w:r>
    </w:p>
    <w:p w:rsidR="007450E6" w:rsidRPr="00FD0B79" w:rsidRDefault="007450E6" w:rsidP="007450E6">
      <w:pPr>
        <w:rPr>
          <w:rFonts w:cs="Times New Roman"/>
        </w:rPr>
      </w:pPr>
      <w:r w:rsidRPr="00FD0B79">
        <w:rPr>
          <w:rFonts w:cs="Times New Roman"/>
        </w:rPr>
        <w:br w:type="page"/>
      </w:r>
    </w:p>
    <w:p w:rsidR="00C37693" w:rsidRPr="00FD0B79" w:rsidRDefault="00C37693" w:rsidP="00260700">
      <w:pPr>
        <w:pStyle w:val="Heading2"/>
      </w:pPr>
      <w:r w:rsidRPr="00FD0B79">
        <w:lastRenderedPageBreak/>
        <w:t>Introduction</w:t>
      </w:r>
    </w:p>
    <w:p w:rsidR="00C37693" w:rsidRPr="00FD0B79" w:rsidRDefault="00C37693" w:rsidP="007450E6">
      <w:pPr>
        <w:rPr>
          <w:rFonts w:cs="Times New Roman"/>
        </w:rPr>
      </w:pPr>
      <w:r w:rsidRPr="00FD0B79">
        <w:rPr>
          <w:rFonts w:cs="Times New Roman"/>
        </w:rPr>
        <w:t xml:space="preserve">Water is a source of all life. This is a basic biological fact; the lack of water undermines survival and threatens existence, </w:t>
      </w:r>
      <w:r w:rsidR="003D3981">
        <w:rPr>
          <w:rFonts w:cs="Times New Roman"/>
        </w:rPr>
        <w:t xml:space="preserve">and </w:t>
      </w:r>
      <w:r w:rsidRPr="00FD0B79">
        <w:rPr>
          <w:rFonts w:cs="Times New Roman"/>
        </w:rPr>
        <w:t xml:space="preserve">the being of beings. Human beings, as with other organic life, cannot survive without access to water. Hence, water is the most basic of all human needs. Life, economic development, survival, and reproduction of life require water. If human rights are about securing basic human interests, water is a basic human right good and interconnected with the broader right to </w:t>
      </w:r>
      <w:r w:rsidR="00841782">
        <w:rPr>
          <w:rFonts w:cs="Times New Roman"/>
        </w:rPr>
        <w:t>an adequate standard of living.</w:t>
      </w:r>
    </w:p>
    <w:p w:rsidR="00C37693" w:rsidRPr="00FD0B79" w:rsidRDefault="00C37693" w:rsidP="007450E6">
      <w:pPr>
        <w:spacing w:line="240" w:lineRule="auto"/>
        <w:rPr>
          <w:rFonts w:cs="Times New Roman"/>
        </w:rPr>
      </w:pPr>
    </w:p>
    <w:p w:rsidR="00C37693" w:rsidRPr="00FD0B79" w:rsidRDefault="00841782" w:rsidP="007450E6">
      <w:pPr>
        <w:rPr>
          <w:rFonts w:cs="Times New Roman"/>
        </w:rPr>
      </w:pPr>
      <w:r>
        <w:rPr>
          <w:rFonts w:cs="Times New Roman"/>
        </w:rPr>
        <w:t>W</w:t>
      </w:r>
      <w:r w:rsidR="00C37693" w:rsidRPr="00FD0B79">
        <w:rPr>
          <w:rFonts w:cs="Times New Roman"/>
        </w:rPr>
        <w:t xml:space="preserve">ater is also the source of death. </w:t>
      </w:r>
      <w:r w:rsidR="009A7CC3" w:rsidRPr="00FD0B79">
        <w:rPr>
          <w:rFonts w:cs="Times New Roman"/>
        </w:rPr>
        <w:t>C</w:t>
      </w:r>
      <w:r w:rsidR="00C37693" w:rsidRPr="00FD0B79">
        <w:rPr>
          <w:rFonts w:cs="Times New Roman"/>
        </w:rPr>
        <w:t>onflicts over access and control of water have deep historical roots, spanning millennia back in recorded history. And conflict over water resources most likely will lead to violent conflict and wars in decades to come. No wonder water has evolved as a key human rights norm. Hence, water is a resource that structure</w:t>
      </w:r>
      <w:r w:rsidR="003D3981">
        <w:rPr>
          <w:rFonts w:cs="Times New Roman"/>
        </w:rPr>
        <w:t>s</w:t>
      </w:r>
      <w:r w:rsidR="00C37693" w:rsidRPr="00FD0B79">
        <w:rPr>
          <w:rFonts w:cs="Times New Roman"/>
        </w:rPr>
        <w:t xml:space="preserve"> and restructure</w:t>
      </w:r>
      <w:r w:rsidR="003D3981">
        <w:rPr>
          <w:rFonts w:cs="Times New Roman"/>
        </w:rPr>
        <w:t>s</w:t>
      </w:r>
      <w:r w:rsidR="00C37693" w:rsidRPr="00FD0B79">
        <w:rPr>
          <w:rFonts w:cs="Times New Roman"/>
        </w:rPr>
        <w:t xml:space="preserve"> societies with huge conflict potential. </w:t>
      </w:r>
      <w:r w:rsidR="003D3981">
        <w:rPr>
          <w:rFonts w:cs="Times New Roman"/>
        </w:rPr>
        <w:t>The fight for water resources will likely</w:t>
      </w:r>
      <w:r w:rsidR="00C37693" w:rsidRPr="00FD0B79">
        <w:rPr>
          <w:rFonts w:cs="Times New Roman"/>
        </w:rPr>
        <w:t xml:space="preserve"> be the battle inside and between countries in the immediate future, and for a long time.</w:t>
      </w:r>
    </w:p>
    <w:p w:rsidR="00C37693" w:rsidRPr="00FD0B79" w:rsidRDefault="00C37693" w:rsidP="007450E6">
      <w:pPr>
        <w:spacing w:line="240" w:lineRule="auto"/>
        <w:rPr>
          <w:rFonts w:cs="Times New Roman"/>
        </w:rPr>
      </w:pPr>
    </w:p>
    <w:p w:rsidR="00C37693" w:rsidRPr="00FD0B79" w:rsidRDefault="00C37693" w:rsidP="007450E6">
      <w:pPr>
        <w:spacing w:after="240"/>
        <w:rPr>
          <w:rFonts w:cs="Times New Roman"/>
        </w:rPr>
      </w:pPr>
      <w:r w:rsidRPr="00FD0B79">
        <w:rPr>
          <w:rFonts w:cs="Times New Roman"/>
        </w:rPr>
        <w:t xml:space="preserve">This essay seeks to justify why the right to water is a human right and highly essential for sustainable development and anti-poverty efforts. In the first part of the essay, I draw on the assumption that if water is life, access to water constitutes a basic human right in the sense of basic rights spelled out by Henry </w:t>
      </w:r>
      <w:proofErr w:type="spellStart"/>
      <w:r w:rsidRPr="00FD0B79">
        <w:rPr>
          <w:rFonts w:cs="Times New Roman"/>
        </w:rPr>
        <w:t>Shue</w:t>
      </w:r>
      <w:proofErr w:type="spellEnd"/>
      <w:r w:rsidR="003D6E72">
        <w:rPr>
          <w:rFonts w:cs="Times New Roman"/>
        </w:rPr>
        <w:t xml:space="preserve"> (1990)</w:t>
      </w:r>
      <w:r w:rsidR="009A7CC3" w:rsidRPr="00FD0B79">
        <w:rPr>
          <w:rStyle w:val="FootnoteReference"/>
          <w:rFonts w:ascii="Times New Roman" w:hAnsi="Times New Roman" w:cs="Times New Roman"/>
        </w:rPr>
        <w:footnoteReference w:id="2"/>
      </w:r>
      <w:r w:rsidRPr="00FD0B79">
        <w:rPr>
          <w:rFonts w:cs="Times New Roman"/>
        </w:rPr>
        <w:t>. In the second part, I explore briefly how conflict over water resources threatens peace and security, and the right to water in situations of conflicts about water resources. On both these two dimensions of w</w:t>
      </w:r>
      <w:r w:rsidR="003D3981">
        <w:rPr>
          <w:rFonts w:cs="Times New Roman"/>
        </w:rPr>
        <w:t xml:space="preserve">ater analysis </w:t>
      </w:r>
      <w:r w:rsidR="003D6E72">
        <w:rPr>
          <w:rFonts w:cs="Times New Roman"/>
        </w:rPr>
        <w:t>-</w:t>
      </w:r>
      <w:r w:rsidR="003D3981">
        <w:rPr>
          <w:rFonts w:cs="Times New Roman"/>
        </w:rPr>
        <w:t xml:space="preserve"> the normative rights, and the political</w:t>
      </w:r>
      <w:r w:rsidRPr="00FD0B79">
        <w:rPr>
          <w:rFonts w:cs="Times New Roman"/>
        </w:rPr>
        <w:t xml:space="preserve"> conflict </w:t>
      </w:r>
      <w:r w:rsidR="003D6E72">
        <w:rPr>
          <w:rFonts w:cs="Times New Roman"/>
        </w:rPr>
        <w:t>-</w:t>
      </w:r>
      <w:r w:rsidRPr="00FD0B79">
        <w:rPr>
          <w:rFonts w:cs="Times New Roman"/>
        </w:rPr>
        <w:t xml:space="preserve"> the international community faces tremendous challenges of distributive justice, peace and security. </w:t>
      </w:r>
    </w:p>
    <w:p w:rsidR="00C37693" w:rsidRPr="00FD0B79" w:rsidRDefault="00C37693" w:rsidP="00260700">
      <w:pPr>
        <w:pStyle w:val="Heading2"/>
      </w:pPr>
      <w:r w:rsidRPr="00FD0B79">
        <w:t>Water as a basic human right</w:t>
      </w:r>
    </w:p>
    <w:p w:rsidR="00C37693" w:rsidRPr="00FD0B79" w:rsidRDefault="003D3981" w:rsidP="007450E6">
      <w:pPr>
        <w:rPr>
          <w:rFonts w:cs="Times New Roman"/>
        </w:rPr>
      </w:pPr>
      <w:r>
        <w:rPr>
          <w:rFonts w:cs="Times New Roman"/>
        </w:rPr>
        <w:t>Despite</w:t>
      </w:r>
      <w:r w:rsidR="00C37693" w:rsidRPr="00FD0B79">
        <w:rPr>
          <w:rFonts w:cs="Times New Roman"/>
        </w:rPr>
        <w:t xml:space="preserve"> </w:t>
      </w:r>
      <w:r>
        <w:rPr>
          <w:rFonts w:cs="Times New Roman"/>
        </w:rPr>
        <w:t>the</w:t>
      </w:r>
      <w:r w:rsidR="00C37693" w:rsidRPr="00FD0B79">
        <w:rPr>
          <w:rFonts w:cs="Times New Roman"/>
        </w:rPr>
        <w:t xml:space="preserve"> centrality of water to human life pointed out, water has only recently evolved and been recognized as a human right in international human rights law. Access to water was not explicitly referred to in the early human rights treaties</w:t>
      </w:r>
      <w:r w:rsidR="009A7CC3" w:rsidRPr="00FD0B79">
        <w:rPr>
          <w:rFonts w:cs="Times New Roman"/>
        </w:rPr>
        <w:t>.</w:t>
      </w:r>
      <w:r w:rsidR="00C37693" w:rsidRPr="00FD0B79">
        <w:rPr>
          <w:rFonts w:cs="Times New Roman"/>
        </w:rPr>
        <w:t xml:space="preserve"> While the right to water is closely interrelated to the overarching right to an </w:t>
      </w:r>
      <w:r w:rsidR="00C37693" w:rsidRPr="00FD0B79">
        <w:rPr>
          <w:rFonts w:cs="Times New Roman"/>
        </w:rPr>
        <w:lastRenderedPageBreak/>
        <w:t xml:space="preserve">adequate standard of living, it is not explicitly referred to in article 11 of the UN Covenant on Economic, Social and Cultural Rights (CESCR) covering this right. Yet, as pointed out by the United Nation Committee on Economic, Social and Cultural Rights (the Committee), the right goods listed in the article of the CESCR (covering the right to food, freedom from hunger, right to housing and shelter) was not meant to be exhaustive but rather a provisional </w:t>
      </w:r>
      <w:r w:rsidR="009D7DCF">
        <w:rPr>
          <w:rFonts w:cs="Times New Roman"/>
        </w:rPr>
        <w:t>‘</w:t>
      </w:r>
      <w:r w:rsidR="00C37693" w:rsidRPr="00FD0B79">
        <w:rPr>
          <w:rFonts w:cs="Times New Roman"/>
        </w:rPr>
        <w:t>catalogue of guarantees essential for securing an adequate standard of living</w:t>
      </w:r>
      <w:r w:rsidR="008303BF" w:rsidRPr="00FD0B79">
        <w:rPr>
          <w:rFonts w:cs="Times New Roman"/>
        </w:rPr>
        <w:t>.</w:t>
      </w:r>
      <w:r w:rsidR="009D7DCF">
        <w:rPr>
          <w:rFonts w:cs="Times New Roman"/>
        </w:rPr>
        <w:t>’</w:t>
      </w:r>
      <w:r w:rsidR="008303BF" w:rsidRPr="00FD0B79">
        <w:rPr>
          <w:rStyle w:val="FootnoteReference"/>
          <w:rFonts w:ascii="Times New Roman" w:hAnsi="Times New Roman" w:cs="Times New Roman"/>
        </w:rPr>
        <w:footnoteReference w:id="3"/>
      </w:r>
      <w:r w:rsidR="00C37693" w:rsidRPr="00FD0B79">
        <w:rPr>
          <w:rFonts w:cs="Times New Roman"/>
        </w:rPr>
        <w:t xml:space="preserve"> This view gave scope for a dynamic interpretation by the Committee</w:t>
      </w:r>
      <w:r w:rsidR="009D7DCF">
        <w:rPr>
          <w:rFonts w:cs="Times New Roman"/>
        </w:rPr>
        <w:t xml:space="preserve">. In </w:t>
      </w:r>
      <w:r w:rsidR="00C37693" w:rsidRPr="00FD0B79">
        <w:rPr>
          <w:rFonts w:cs="Times New Roman"/>
        </w:rPr>
        <w:t>its interpretation of the right to an adequate standard of living in General Comment 15 of 2002,</w:t>
      </w:r>
      <w:r w:rsidR="00E24347" w:rsidRPr="00FD0B79">
        <w:rPr>
          <w:rStyle w:val="FootnoteReference"/>
          <w:rFonts w:ascii="Times New Roman" w:hAnsi="Times New Roman" w:cs="Times New Roman"/>
        </w:rPr>
        <w:footnoteReference w:id="4"/>
      </w:r>
      <w:r w:rsidR="00C37693" w:rsidRPr="00FD0B79">
        <w:rPr>
          <w:rFonts w:cs="Times New Roman"/>
        </w:rPr>
        <w:t xml:space="preserve"> the Committee makes it clear that the listing of the rights to food, housing and clothing in </w:t>
      </w:r>
      <w:r w:rsidR="009D7DCF">
        <w:rPr>
          <w:rFonts w:cs="Times New Roman"/>
        </w:rPr>
        <w:t>a</w:t>
      </w:r>
      <w:r w:rsidR="00C37693" w:rsidRPr="00FD0B79">
        <w:rPr>
          <w:rFonts w:cs="Times New Roman"/>
        </w:rPr>
        <w:t xml:space="preserve">rticle 11 was not intended to be complete. It adds that the right to water </w:t>
      </w:r>
      <w:r w:rsidR="009D7DCF">
        <w:rPr>
          <w:rFonts w:cs="Times New Roman"/>
        </w:rPr>
        <w:t>‘</w:t>
      </w:r>
      <w:r w:rsidR="00C37693" w:rsidRPr="00FD0B79">
        <w:rPr>
          <w:rFonts w:cs="Times New Roman"/>
        </w:rPr>
        <w:t>clearly falls within the category of guarantees essential for securing an adequate standard of living, particularly since it is one of the most fundamental conditions for survival</w:t>
      </w:r>
      <w:r w:rsidR="00E24347" w:rsidRPr="00FD0B79">
        <w:rPr>
          <w:rFonts w:cs="Times New Roman"/>
        </w:rPr>
        <w:t>.</w:t>
      </w:r>
      <w:r w:rsidR="009D7DCF">
        <w:rPr>
          <w:rFonts w:cs="Times New Roman"/>
        </w:rPr>
        <w:t>’</w:t>
      </w:r>
      <w:r w:rsidR="00E24347" w:rsidRPr="00FD0B79">
        <w:rPr>
          <w:rStyle w:val="FootnoteReference"/>
          <w:rFonts w:ascii="Times New Roman" w:hAnsi="Times New Roman" w:cs="Times New Roman"/>
        </w:rPr>
        <w:footnoteReference w:id="5"/>
      </w:r>
    </w:p>
    <w:p w:rsidR="00C37693" w:rsidRPr="00FD0B79" w:rsidRDefault="00C37693" w:rsidP="007450E6">
      <w:pPr>
        <w:spacing w:line="240" w:lineRule="auto"/>
        <w:rPr>
          <w:rFonts w:cs="Times New Roman"/>
        </w:rPr>
      </w:pPr>
    </w:p>
    <w:p w:rsidR="00C37693" w:rsidRPr="00FD0B79" w:rsidRDefault="00C40A60" w:rsidP="007450E6">
      <w:pPr>
        <w:rPr>
          <w:rFonts w:cs="Times New Roman"/>
        </w:rPr>
      </w:pPr>
      <w:r w:rsidRPr="00FD0B79">
        <w:rPr>
          <w:rFonts w:cs="Times New Roman"/>
        </w:rPr>
        <w:t xml:space="preserve">General Comment </w:t>
      </w:r>
      <w:r w:rsidR="00C37693" w:rsidRPr="00FD0B79">
        <w:rPr>
          <w:rFonts w:cs="Times New Roman"/>
        </w:rPr>
        <w:t xml:space="preserve">15 represented a breakthrough </w:t>
      </w:r>
      <w:r w:rsidR="003D3981">
        <w:rPr>
          <w:rFonts w:cs="Times New Roman"/>
        </w:rPr>
        <w:t>in</w:t>
      </w:r>
      <w:r w:rsidR="00C37693" w:rsidRPr="00FD0B79">
        <w:rPr>
          <w:rFonts w:cs="Times New Roman"/>
        </w:rPr>
        <w:t xml:space="preserve"> an acknowledgement of water as a basic human right. The opening paragraph of G</w:t>
      </w:r>
      <w:r w:rsidR="00E24347" w:rsidRPr="00FD0B79">
        <w:rPr>
          <w:rFonts w:cs="Times New Roman"/>
        </w:rPr>
        <w:t xml:space="preserve">eneral Comment </w:t>
      </w:r>
      <w:r w:rsidR="00C37693" w:rsidRPr="00FD0B79">
        <w:rPr>
          <w:rFonts w:cs="Times New Roman"/>
        </w:rPr>
        <w:t>15 states that water</w:t>
      </w:r>
      <w:r w:rsidR="009D7DCF">
        <w:rPr>
          <w:rFonts w:cs="Times New Roman"/>
        </w:rPr>
        <w:t>-</w:t>
      </w:r>
      <w:r w:rsidR="00C37693" w:rsidRPr="00FD0B79">
        <w:rPr>
          <w:rFonts w:cs="Times New Roman"/>
        </w:rPr>
        <w:t>in different usages</w:t>
      </w:r>
      <w:r w:rsidR="009D7DCF">
        <w:rPr>
          <w:rFonts w:cs="Times New Roman"/>
        </w:rPr>
        <w:t>-</w:t>
      </w:r>
      <w:r w:rsidR="00C37693" w:rsidRPr="00FD0B79">
        <w:rPr>
          <w:rFonts w:cs="Times New Roman"/>
        </w:rPr>
        <w:t>is an essential public good that should be available to all, and which is conditional for other human rights</w:t>
      </w:r>
      <w:r w:rsidR="009D7DCF">
        <w:rPr>
          <w:rFonts w:cs="Times New Roman"/>
        </w:rPr>
        <w:t>. Comment 15 observes,</w:t>
      </w:r>
      <w:r w:rsidR="00C37693" w:rsidRPr="00FD0B79">
        <w:rPr>
          <w:rFonts w:cs="Times New Roman"/>
        </w:rPr>
        <w:t xml:space="preserve"> </w:t>
      </w:r>
      <w:r w:rsidR="009D7DCF">
        <w:rPr>
          <w:rFonts w:cs="Times New Roman"/>
        </w:rPr>
        <w:t>‘</w:t>
      </w:r>
      <w:r w:rsidR="00C37693" w:rsidRPr="00FD0B79">
        <w:rPr>
          <w:rFonts w:cs="Times New Roman"/>
        </w:rPr>
        <w:t>Water is a limited natural resource and a public good fundamental for life and health. The human right to water is indispensable for leading a life in human dignity. It is a prerequisite for the realization of other human rights</w:t>
      </w:r>
      <w:r w:rsidRPr="00FD0B79">
        <w:rPr>
          <w:rFonts w:cs="Times New Roman"/>
        </w:rPr>
        <w:t>.</w:t>
      </w:r>
      <w:r w:rsidR="009D7DCF">
        <w:rPr>
          <w:rFonts w:cs="Times New Roman"/>
        </w:rPr>
        <w:t>’</w:t>
      </w:r>
      <w:r w:rsidRPr="00FD0B79">
        <w:rPr>
          <w:rStyle w:val="FootnoteReference"/>
          <w:rFonts w:ascii="Times New Roman" w:hAnsi="Times New Roman" w:cs="Times New Roman"/>
        </w:rPr>
        <w:footnoteReference w:id="6"/>
      </w:r>
      <w:r w:rsidR="00C37693" w:rsidRPr="00FD0B79">
        <w:rPr>
          <w:rFonts w:cs="Times New Roman"/>
        </w:rPr>
        <w:t xml:space="preserve"> In this sense, the right to water is what </w:t>
      </w:r>
      <w:proofErr w:type="spellStart"/>
      <w:r w:rsidR="00C37693" w:rsidRPr="00FD0B79">
        <w:rPr>
          <w:rFonts w:cs="Times New Roman"/>
        </w:rPr>
        <w:t>Shue</w:t>
      </w:r>
      <w:proofErr w:type="spellEnd"/>
      <w:r w:rsidR="00C37693" w:rsidRPr="00FD0B79">
        <w:rPr>
          <w:rFonts w:cs="Times New Roman"/>
        </w:rPr>
        <w:t xml:space="preserve"> refers to as a basic right, that is, a right which enjoyment </w:t>
      </w:r>
      <w:r w:rsidR="00511962">
        <w:rPr>
          <w:rFonts w:cs="Times New Roman"/>
        </w:rPr>
        <w:t>‘i</w:t>
      </w:r>
      <w:r w:rsidR="00C37693" w:rsidRPr="00FD0B79">
        <w:rPr>
          <w:rFonts w:cs="Times New Roman"/>
        </w:rPr>
        <w:t>s essential to the enjoyment of all other rights</w:t>
      </w:r>
      <w:r w:rsidRPr="00FD0B79">
        <w:rPr>
          <w:rFonts w:cs="Times New Roman"/>
        </w:rPr>
        <w:t>.</w:t>
      </w:r>
      <w:r w:rsidR="00511962">
        <w:rPr>
          <w:rFonts w:cs="Times New Roman"/>
        </w:rPr>
        <w:t>’</w:t>
      </w:r>
      <w:r w:rsidRPr="00FD0B79">
        <w:rPr>
          <w:rStyle w:val="FootnoteReference"/>
          <w:rFonts w:ascii="Times New Roman" w:hAnsi="Times New Roman" w:cs="Times New Roman"/>
        </w:rPr>
        <w:footnoteReference w:id="7"/>
      </w:r>
      <w:r w:rsidR="00C37693" w:rsidRPr="00FD0B79">
        <w:rPr>
          <w:rFonts w:cs="Times New Roman"/>
        </w:rPr>
        <w:t xml:space="preserve"> The right to access water is not just essential for other subsistence rights.</w:t>
      </w:r>
      <w:r w:rsidRPr="00FD0B79">
        <w:rPr>
          <w:rStyle w:val="FootnoteReference"/>
          <w:rFonts w:ascii="Times New Roman" w:hAnsi="Times New Roman" w:cs="Times New Roman"/>
        </w:rPr>
        <w:footnoteReference w:id="8"/>
      </w:r>
      <w:r w:rsidR="00C37693" w:rsidRPr="00FD0B79">
        <w:rPr>
          <w:rFonts w:cs="Times New Roman"/>
        </w:rPr>
        <w:t xml:space="preserve"> It is basic for the fundamental right to life, and the human rights value of dignity.</w:t>
      </w:r>
    </w:p>
    <w:p w:rsidR="00C37693" w:rsidRPr="00FD0B79" w:rsidRDefault="00C37693" w:rsidP="007450E6">
      <w:pPr>
        <w:spacing w:line="240" w:lineRule="auto"/>
        <w:rPr>
          <w:rFonts w:cs="Times New Roman"/>
        </w:rPr>
      </w:pPr>
    </w:p>
    <w:p w:rsidR="00C37693" w:rsidRPr="00FD0B79" w:rsidRDefault="00C37693" w:rsidP="007450E6">
      <w:pPr>
        <w:rPr>
          <w:rFonts w:cs="Times New Roman"/>
        </w:rPr>
      </w:pPr>
      <w:r w:rsidRPr="00FD0B79">
        <w:rPr>
          <w:rFonts w:cs="Times New Roman"/>
        </w:rPr>
        <w:t xml:space="preserve">The Committee observed that there are a variety of uses of water that require rights protection; as drinking water and part of basic nutrition; as essential for health and safe sanitation; and as a basic resource in agricultural activity. The latter usage is </w:t>
      </w:r>
      <w:r w:rsidRPr="00FD0B79">
        <w:rPr>
          <w:rFonts w:cs="Times New Roman"/>
        </w:rPr>
        <w:lastRenderedPageBreak/>
        <w:t xml:space="preserve">important in </w:t>
      </w:r>
      <w:r w:rsidR="003D3981">
        <w:rPr>
          <w:rFonts w:cs="Times New Roman"/>
        </w:rPr>
        <w:t xml:space="preserve">the </w:t>
      </w:r>
      <w:r w:rsidRPr="00FD0B79">
        <w:rPr>
          <w:rFonts w:cs="Times New Roman"/>
        </w:rPr>
        <w:t xml:space="preserve">context of agriculture in general, including subsistence or self-sufficient agriculture, typical for many African communities. Access to water is essential for the self-provision of food in small-scale rural, and peri-urban agriculture ‘gardening’ (domestic agricultural production in urban and semi-urban areas). Important from a gender perspective, self-sufficiency food production is regularly carried out by women in non-affluent societies. </w:t>
      </w:r>
      <w:proofErr w:type="spellStart"/>
      <w:r w:rsidRPr="00FD0B79">
        <w:rPr>
          <w:rFonts w:cs="Times New Roman"/>
        </w:rPr>
        <w:t>Hellum</w:t>
      </w:r>
      <w:proofErr w:type="spellEnd"/>
      <w:r w:rsidRPr="00FD0B79">
        <w:rPr>
          <w:rFonts w:cs="Times New Roman"/>
        </w:rPr>
        <w:t xml:space="preserve"> et al (2016: 35) note that </w:t>
      </w:r>
      <w:r w:rsidR="00511962">
        <w:rPr>
          <w:rFonts w:cs="Times New Roman"/>
        </w:rPr>
        <w:t>‘[</w:t>
      </w:r>
      <w:r w:rsidRPr="00FD0B79">
        <w:rPr>
          <w:rFonts w:cs="Times New Roman"/>
        </w:rPr>
        <w:t>t</w:t>
      </w:r>
      <w:r w:rsidR="00511962">
        <w:rPr>
          <w:rFonts w:cs="Times New Roman"/>
        </w:rPr>
        <w:t>]</w:t>
      </w:r>
      <w:r w:rsidRPr="00FD0B79">
        <w:rPr>
          <w:rFonts w:cs="Times New Roman"/>
        </w:rPr>
        <w:t xml:space="preserve">he indivisibility of socio-economic rights is especially important for poor African women’s right to sufficient water for domestic and livelihood uses. Water-dependent gardening, cropping, livestock, brick-making, craft and small-scale enterprises are </w:t>
      </w:r>
      <w:r w:rsidR="00511962">
        <w:rPr>
          <w:rFonts w:cs="Times New Roman"/>
        </w:rPr>
        <w:t>‘</w:t>
      </w:r>
      <w:r w:rsidRPr="00FD0B79">
        <w:rPr>
          <w:rFonts w:cs="Times New Roman"/>
        </w:rPr>
        <w:t>…the mainstay of their diversified livelihoods</w:t>
      </w:r>
      <w:r w:rsidR="00C40A60" w:rsidRPr="00FD0B79">
        <w:rPr>
          <w:rFonts w:cs="Times New Roman"/>
        </w:rPr>
        <w:t>.</w:t>
      </w:r>
      <w:r w:rsidR="00511962">
        <w:rPr>
          <w:rFonts w:cs="Times New Roman"/>
        </w:rPr>
        <w:t>’</w:t>
      </w:r>
      <w:r w:rsidR="00C40A60" w:rsidRPr="00FD0B79">
        <w:rPr>
          <w:rStyle w:val="FootnoteReference"/>
          <w:rFonts w:ascii="Times New Roman" w:hAnsi="Times New Roman" w:cs="Times New Roman"/>
        </w:rPr>
        <w:footnoteReference w:id="9"/>
      </w:r>
      <w:r w:rsidRPr="00FD0B79">
        <w:rPr>
          <w:rFonts w:cs="Times New Roman"/>
        </w:rPr>
        <w:t xml:space="preserve"> In other words, access to water is a precondition for self-provision of food, and hence, the broader right to an adequate standard of living. </w:t>
      </w:r>
    </w:p>
    <w:p w:rsidR="00C37693" w:rsidRPr="00FD0B79" w:rsidRDefault="00C37693" w:rsidP="00C40A60">
      <w:pPr>
        <w:spacing w:line="240" w:lineRule="auto"/>
        <w:rPr>
          <w:rFonts w:cs="Times New Roman"/>
        </w:rPr>
      </w:pPr>
    </w:p>
    <w:p w:rsidR="00C37693" w:rsidRPr="00FD0B79" w:rsidRDefault="00C37693" w:rsidP="00B55B1A">
      <w:pPr>
        <w:spacing w:after="240"/>
        <w:rPr>
          <w:rFonts w:cs="Times New Roman"/>
        </w:rPr>
      </w:pPr>
      <w:r w:rsidRPr="00FD0B79">
        <w:rPr>
          <w:rFonts w:cs="Times New Roman"/>
        </w:rPr>
        <w:t>The right to clean drinking water was referred to in the UN Convention on the Rights of the Child of 1989. In article 24, paragraph 2 (c) the CRC links the right to clean drinking</w:t>
      </w:r>
      <w:r w:rsidR="003D3981">
        <w:rPr>
          <w:rFonts w:cs="Times New Roman"/>
        </w:rPr>
        <w:t xml:space="preserve"> </w:t>
      </w:r>
      <w:r w:rsidRPr="00FD0B79">
        <w:rPr>
          <w:rFonts w:cs="Times New Roman"/>
        </w:rPr>
        <w:t xml:space="preserve">water to the right to health of the child, and </w:t>
      </w:r>
      <w:r w:rsidR="00C40A60" w:rsidRPr="00FD0B79">
        <w:rPr>
          <w:rFonts w:cs="Times New Roman"/>
        </w:rPr>
        <w:t>a</w:t>
      </w:r>
      <w:r w:rsidRPr="00FD0B79">
        <w:rPr>
          <w:rFonts w:cs="Times New Roman"/>
        </w:rPr>
        <w:t xml:space="preserve">rticle 14(2) of the UN Convention Against Discrimination of Women (CEDAW) states that women have the right to </w:t>
      </w:r>
      <w:r w:rsidR="00511962">
        <w:rPr>
          <w:rFonts w:cs="Times New Roman"/>
        </w:rPr>
        <w:t>‘</w:t>
      </w:r>
      <w:r w:rsidRPr="00FD0B79">
        <w:rPr>
          <w:rFonts w:cs="Times New Roman"/>
        </w:rPr>
        <w:t xml:space="preserve">adequate living conditions, particularly </w:t>
      </w:r>
      <w:r w:rsidR="003D3981">
        <w:rPr>
          <w:rFonts w:cs="Times New Roman"/>
        </w:rPr>
        <w:t>concerning</w:t>
      </w:r>
      <w:r w:rsidRPr="00FD0B79">
        <w:rPr>
          <w:rFonts w:cs="Times New Roman"/>
        </w:rPr>
        <w:t xml:space="preserve"> housing, sanitation, electricity and water supply</w:t>
      </w:r>
      <w:r w:rsidR="00B55B1A" w:rsidRPr="00FD0B79">
        <w:rPr>
          <w:rFonts w:cs="Times New Roman"/>
        </w:rPr>
        <w:t>.</w:t>
      </w:r>
      <w:r w:rsidR="00511962">
        <w:rPr>
          <w:rFonts w:cs="Times New Roman"/>
        </w:rPr>
        <w:t>’</w:t>
      </w:r>
      <w:r w:rsidR="00B55B1A" w:rsidRPr="00FD0B79">
        <w:rPr>
          <w:rStyle w:val="FootnoteReference"/>
          <w:rFonts w:ascii="Times New Roman" w:hAnsi="Times New Roman" w:cs="Times New Roman"/>
        </w:rPr>
        <w:footnoteReference w:id="10"/>
      </w:r>
      <w:r w:rsidRPr="00FD0B79">
        <w:rPr>
          <w:rFonts w:cs="Times New Roman"/>
        </w:rPr>
        <w:t xml:space="preserve"> Other human rights treaties, for instance</w:t>
      </w:r>
      <w:r w:rsidR="003D3981">
        <w:rPr>
          <w:rFonts w:cs="Times New Roman"/>
        </w:rPr>
        <w:t>,</w:t>
      </w:r>
      <w:r w:rsidRPr="00FD0B79">
        <w:rPr>
          <w:rFonts w:cs="Times New Roman"/>
        </w:rPr>
        <w:t xml:space="preserve"> the Protocol to the African Charter on Human and People’s Rights on the Rights of Women in Africa,</w:t>
      </w:r>
      <w:r w:rsidR="00B55B1A" w:rsidRPr="00FD0B79">
        <w:rPr>
          <w:rStyle w:val="FootnoteReference"/>
          <w:rFonts w:ascii="Times New Roman" w:hAnsi="Times New Roman" w:cs="Times New Roman"/>
        </w:rPr>
        <w:footnoteReference w:id="11"/>
      </w:r>
      <w:r w:rsidRPr="00FD0B79">
        <w:rPr>
          <w:rFonts w:cs="Times New Roman"/>
        </w:rPr>
        <w:t xml:space="preserve"> states that State Parties should enable </w:t>
      </w:r>
      <w:r w:rsidR="00984C0A">
        <w:rPr>
          <w:rFonts w:cs="Times New Roman"/>
        </w:rPr>
        <w:t>‘</w:t>
      </w:r>
      <w:r w:rsidRPr="00FD0B79">
        <w:rPr>
          <w:rFonts w:cs="Times New Roman"/>
        </w:rPr>
        <w:t>women to access clean drinking water, sources of domestic fuel, land and the means of producing nutritious food</w:t>
      </w:r>
      <w:r w:rsidR="00B55B1A" w:rsidRPr="00FD0B79">
        <w:rPr>
          <w:rFonts w:cs="Times New Roman"/>
        </w:rPr>
        <w:t>.</w:t>
      </w:r>
      <w:r w:rsidR="00984C0A">
        <w:rPr>
          <w:rFonts w:cs="Times New Roman"/>
        </w:rPr>
        <w:t>’</w:t>
      </w:r>
      <w:r w:rsidR="00B55B1A" w:rsidRPr="00FD0B79">
        <w:rPr>
          <w:rStyle w:val="FootnoteReference"/>
          <w:rFonts w:ascii="Times New Roman" w:hAnsi="Times New Roman" w:cs="Times New Roman"/>
        </w:rPr>
        <w:footnoteReference w:id="12"/>
      </w:r>
      <w:r w:rsidRPr="00FD0B79">
        <w:rPr>
          <w:rFonts w:cs="Times New Roman"/>
        </w:rPr>
        <w:t xml:space="preserve"> States ratifying these documents, in other words, have obligations to provide women, or </w:t>
      </w:r>
      <w:r w:rsidR="00667136" w:rsidRPr="00FD0B79">
        <w:rPr>
          <w:rFonts w:cs="Times New Roman"/>
        </w:rPr>
        <w:t>broadly</w:t>
      </w:r>
      <w:r w:rsidRPr="00FD0B79">
        <w:rPr>
          <w:rFonts w:cs="Times New Roman"/>
        </w:rPr>
        <w:t xml:space="preserve"> the cultivator, with the means of facilitating the</w:t>
      </w:r>
      <w:r w:rsidR="003D3981">
        <w:rPr>
          <w:rFonts w:cs="Times New Roman"/>
        </w:rPr>
        <w:t xml:space="preserve"> fulfilment of their rights</w:t>
      </w:r>
      <w:r w:rsidRPr="00FD0B79">
        <w:rPr>
          <w:rFonts w:cs="Times New Roman"/>
        </w:rPr>
        <w:t xml:space="preserve"> by self-provision.</w:t>
      </w:r>
    </w:p>
    <w:p w:rsidR="00C37693" w:rsidRPr="00FD0B79" w:rsidRDefault="00C37693" w:rsidP="00260700">
      <w:pPr>
        <w:pStyle w:val="Heading2"/>
      </w:pPr>
      <w:r w:rsidRPr="00FD0B79">
        <w:t>Normative content of the right to water</w:t>
      </w:r>
    </w:p>
    <w:p w:rsidR="00C37693" w:rsidRPr="00FD0B79" w:rsidRDefault="00C37693" w:rsidP="007450E6">
      <w:pPr>
        <w:rPr>
          <w:rFonts w:cs="Times New Roman"/>
        </w:rPr>
      </w:pPr>
      <w:r w:rsidRPr="00FD0B79">
        <w:rPr>
          <w:rFonts w:cs="Times New Roman"/>
        </w:rPr>
        <w:t xml:space="preserve">Human rights documents often assume that human rights are “interrelated” without demonstrating the logic of this interrelatedness. The right to water illustrates how human rights hang together. </w:t>
      </w:r>
      <w:r w:rsidR="00B55B1A" w:rsidRPr="00FD0B79">
        <w:rPr>
          <w:rFonts w:cs="Times New Roman"/>
        </w:rPr>
        <w:t xml:space="preserve">The </w:t>
      </w:r>
      <w:r w:rsidR="00B55B1A" w:rsidRPr="00FD0B79">
        <w:rPr>
          <w:rFonts w:cs="Times New Roman"/>
          <w:szCs w:val="24"/>
        </w:rPr>
        <w:t>United Nation</w:t>
      </w:r>
      <w:r w:rsidR="003D3981">
        <w:rPr>
          <w:rFonts w:cs="Times New Roman"/>
          <w:szCs w:val="24"/>
        </w:rPr>
        <w:t>s</w:t>
      </w:r>
      <w:r w:rsidR="00B55B1A" w:rsidRPr="00FD0B79">
        <w:rPr>
          <w:rFonts w:cs="Times New Roman"/>
          <w:szCs w:val="24"/>
        </w:rPr>
        <w:t xml:space="preserve"> Committee on Economic, Social </w:t>
      </w:r>
      <w:r w:rsidR="00B55B1A" w:rsidRPr="00FD0B79">
        <w:rPr>
          <w:rFonts w:cs="Times New Roman"/>
          <w:szCs w:val="24"/>
        </w:rPr>
        <w:lastRenderedPageBreak/>
        <w:t>and Cultural Rights General Comment 15</w:t>
      </w:r>
      <w:r w:rsidR="00B55B1A" w:rsidRPr="00FD0B79">
        <w:rPr>
          <w:rFonts w:cs="Times New Roman"/>
        </w:rPr>
        <w:t xml:space="preserve"> </w:t>
      </w:r>
      <w:r w:rsidRPr="00FD0B79">
        <w:rPr>
          <w:rFonts w:cs="Times New Roman"/>
        </w:rPr>
        <w:t xml:space="preserve">refers to the right to water as a right ensuring access to clean drinking water and food preparation (survival rights, including </w:t>
      </w:r>
      <w:r w:rsidR="003D3981">
        <w:rPr>
          <w:rFonts w:cs="Times New Roman"/>
        </w:rPr>
        <w:t xml:space="preserve">the </w:t>
      </w:r>
      <w:r w:rsidRPr="00FD0B79">
        <w:rPr>
          <w:rFonts w:cs="Times New Roman"/>
        </w:rPr>
        <w:t>right to life), and personal sanitation, hygiene and washing of clothes (health and related concerns).</w:t>
      </w:r>
      <w:r w:rsidR="00974726" w:rsidRPr="00FD0B79">
        <w:rPr>
          <w:rStyle w:val="FootnoteReference"/>
          <w:rFonts w:ascii="Times New Roman" w:hAnsi="Times New Roman" w:cs="Times New Roman"/>
        </w:rPr>
        <w:footnoteReference w:id="13"/>
      </w:r>
      <w:r w:rsidRPr="00FD0B79">
        <w:rPr>
          <w:rFonts w:cs="Times New Roman"/>
        </w:rPr>
        <w:t xml:space="preserve"> Access to safe water is therefore needed to prevent </w:t>
      </w:r>
      <w:r w:rsidR="00984C0A">
        <w:rPr>
          <w:rFonts w:cs="Times New Roman"/>
        </w:rPr>
        <w:t xml:space="preserve">among others, </w:t>
      </w:r>
      <w:r w:rsidRPr="00FD0B79">
        <w:rPr>
          <w:rFonts w:cs="Times New Roman"/>
        </w:rPr>
        <w:t>malnutrition, starvation and diseases. These are all essential rights goods for state obligations under CESCR. The right to life and the related right to adequate food are basic rights that will not be secured without access to water. Hence, even if water was not explicitly referred to in the International Bill of Human Right</w:t>
      </w:r>
      <w:r w:rsidR="003D3981">
        <w:rPr>
          <w:rFonts w:cs="Times New Roman"/>
        </w:rPr>
        <w:t>s</w:t>
      </w:r>
      <w:r w:rsidRPr="00FD0B79">
        <w:rPr>
          <w:rFonts w:cs="Times New Roman"/>
        </w:rPr>
        <w:t>, it has been deduced by dynamic legal interpretation as conditional for other basic rights.</w:t>
      </w:r>
      <w:r w:rsidRPr="00FD0B79">
        <w:rPr>
          <w:rFonts w:cs="Times New Roman"/>
          <w:vertAlign w:val="superscript"/>
        </w:rPr>
        <w:footnoteReference w:id="14"/>
      </w:r>
      <w:r w:rsidRPr="00FD0B79">
        <w:rPr>
          <w:rFonts w:cs="Times New Roman"/>
        </w:rPr>
        <w:t xml:space="preserve"> Today, this interrelatedness demonstrates that the right to water is a </w:t>
      </w:r>
      <w:proofErr w:type="spellStart"/>
      <w:r w:rsidRPr="00FD0B79">
        <w:rPr>
          <w:rFonts w:cs="Times New Roman"/>
          <w:i/>
        </w:rPr>
        <w:t>conditio</w:t>
      </w:r>
      <w:proofErr w:type="spellEnd"/>
      <w:r w:rsidRPr="00FD0B79">
        <w:rPr>
          <w:rFonts w:cs="Times New Roman"/>
          <w:i/>
        </w:rPr>
        <w:t xml:space="preserve"> sine qua non</w:t>
      </w:r>
      <w:r w:rsidRPr="00FD0B79">
        <w:rPr>
          <w:rFonts w:cs="Times New Roman"/>
        </w:rPr>
        <w:t xml:space="preserve"> for basic subsistence and rights. </w:t>
      </w:r>
    </w:p>
    <w:p w:rsidR="00C37693" w:rsidRPr="00FD0B79" w:rsidRDefault="00C37693" w:rsidP="00FD0B79">
      <w:pPr>
        <w:spacing w:line="240" w:lineRule="auto"/>
        <w:rPr>
          <w:rFonts w:cs="Times New Roman"/>
        </w:rPr>
      </w:pPr>
    </w:p>
    <w:p w:rsidR="00C37693" w:rsidRPr="00FD0B79" w:rsidRDefault="00C37693" w:rsidP="00FD0B79">
      <w:pPr>
        <w:spacing w:after="240"/>
        <w:rPr>
          <w:rFonts w:cs="Times New Roman"/>
        </w:rPr>
      </w:pPr>
      <w:r w:rsidRPr="00FD0B79">
        <w:rPr>
          <w:rFonts w:cs="Times New Roman"/>
        </w:rPr>
        <w:t>To a large extent, the normative and instrumental operationalization of the right to water draws on the operationalization of the right to adequate food. In interpreting the right to food in UN General Comment 12</w:t>
      </w:r>
      <w:r w:rsidR="00D13D03" w:rsidRPr="00FD0B79">
        <w:rPr>
          <w:rFonts w:cs="Times New Roman"/>
        </w:rPr>
        <w:t>,</w:t>
      </w:r>
      <w:r w:rsidR="00D13D03" w:rsidRPr="00FD0B79">
        <w:rPr>
          <w:rStyle w:val="FootnoteReference"/>
          <w:rFonts w:ascii="Times New Roman" w:hAnsi="Times New Roman" w:cs="Times New Roman"/>
        </w:rPr>
        <w:footnoteReference w:id="15"/>
      </w:r>
      <w:r w:rsidRPr="00FD0B79">
        <w:rPr>
          <w:rFonts w:cs="Times New Roman"/>
        </w:rPr>
        <w:t xml:space="preserve"> the Committee on Economic, Social and Cultural Rights stressed that the right to adequate food should not be understood in </w:t>
      </w:r>
      <w:r w:rsidR="00984C0A">
        <w:rPr>
          <w:rFonts w:cs="Times New Roman"/>
        </w:rPr>
        <w:t>‘</w:t>
      </w:r>
      <w:r w:rsidRPr="00FD0B79">
        <w:rPr>
          <w:rFonts w:cs="Times New Roman"/>
        </w:rPr>
        <w:t>a narrow or restrictive sense, which equates it with a minimum package of calories, proteins and other specific nutrients</w:t>
      </w:r>
      <w:r w:rsidR="00D13D03" w:rsidRPr="00FD0B79">
        <w:rPr>
          <w:rFonts w:cs="Times New Roman"/>
        </w:rPr>
        <w:t>.</w:t>
      </w:r>
      <w:r w:rsidR="00984C0A">
        <w:rPr>
          <w:rFonts w:cs="Times New Roman"/>
        </w:rPr>
        <w:t>’</w:t>
      </w:r>
      <w:r w:rsidR="00D13D03" w:rsidRPr="00FD0B79">
        <w:rPr>
          <w:rStyle w:val="FootnoteReference"/>
          <w:rFonts w:ascii="Times New Roman" w:hAnsi="Times New Roman" w:cs="Times New Roman"/>
        </w:rPr>
        <w:footnoteReference w:id="16"/>
      </w:r>
      <w:r w:rsidR="00D13D03" w:rsidRPr="00FD0B79">
        <w:rPr>
          <w:rFonts w:cs="Times New Roman"/>
        </w:rPr>
        <w:t xml:space="preserve"> </w:t>
      </w:r>
      <w:r w:rsidRPr="00FD0B79">
        <w:rPr>
          <w:rFonts w:cs="Times New Roman"/>
        </w:rPr>
        <w:t xml:space="preserve">The right has to be interpreted contextually, that is, in nutritious, social and economic contexts. Food needs to be adequate and nutritious, and sustainable in terms of availability and access. In the terms of the GC 12, </w:t>
      </w:r>
      <w:r w:rsidR="00984C0A">
        <w:rPr>
          <w:rFonts w:cs="Times New Roman"/>
        </w:rPr>
        <w:t>‘</w:t>
      </w:r>
      <w:r w:rsidRPr="00FD0B79">
        <w:rPr>
          <w:rFonts w:cs="Times New Roman"/>
        </w:rPr>
        <w:t>s</w:t>
      </w:r>
      <w:r w:rsidR="00D13D03" w:rsidRPr="00FD0B79">
        <w:rPr>
          <w:rFonts w:cs="Times New Roman"/>
        </w:rPr>
        <w:t>ustainability</w:t>
      </w:r>
      <w:r w:rsidR="00984C0A">
        <w:rPr>
          <w:rFonts w:cs="Times New Roman"/>
        </w:rPr>
        <w:t>’</w:t>
      </w:r>
      <w:r w:rsidR="00D13D03" w:rsidRPr="00FD0B79">
        <w:rPr>
          <w:rStyle w:val="FootnoteReference"/>
          <w:rFonts w:ascii="Times New Roman" w:hAnsi="Times New Roman" w:cs="Times New Roman"/>
        </w:rPr>
        <w:footnoteReference w:id="17"/>
      </w:r>
      <w:r w:rsidR="00D13D03" w:rsidRPr="00FD0B79">
        <w:rPr>
          <w:rFonts w:cs="Times New Roman"/>
        </w:rPr>
        <w:t xml:space="preserve"> </w:t>
      </w:r>
      <w:r w:rsidRPr="00FD0B79">
        <w:rPr>
          <w:rFonts w:cs="Times New Roman"/>
        </w:rPr>
        <w:t xml:space="preserve">is intrinsically linked to the notion of adequate food or food security, implying food being accessible for both present and future generations. The precise meaning of </w:t>
      </w:r>
      <w:r w:rsidR="00984C0A">
        <w:rPr>
          <w:rFonts w:cs="Times New Roman"/>
        </w:rPr>
        <w:t>’</w:t>
      </w:r>
      <w:r w:rsidRPr="00FD0B79">
        <w:rPr>
          <w:rFonts w:cs="Times New Roman"/>
        </w:rPr>
        <w:t>adequacy</w:t>
      </w:r>
      <w:r w:rsidR="00984C0A">
        <w:rPr>
          <w:rFonts w:cs="Times New Roman"/>
        </w:rPr>
        <w:t>’</w:t>
      </w:r>
      <w:r w:rsidR="003E3B8C" w:rsidRPr="00FD0B79">
        <w:rPr>
          <w:rStyle w:val="FootnoteReference"/>
          <w:rFonts w:ascii="Times New Roman" w:hAnsi="Times New Roman" w:cs="Times New Roman"/>
        </w:rPr>
        <w:footnoteReference w:id="18"/>
      </w:r>
      <w:r w:rsidRPr="00FD0B79">
        <w:rPr>
          <w:rFonts w:cs="Times New Roman"/>
        </w:rPr>
        <w:t xml:space="preserve"> is to a large extent determined by prevailing social, economic, cultural, climatic, ecological and other conditions, while </w:t>
      </w:r>
      <w:r w:rsidR="00984C0A">
        <w:rPr>
          <w:rFonts w:cs="Times New Roman"/>
        </w:rPr>
        <w:t>’</w:t>
      </w:r>
      <w:r w:rsidRPr="00FD0B79">
        <w:rPr>
          <w:rFonts w:cs="Times New Roman"/>
        </w:rPr>
        <w:t>sustainability</w:t>
      </w:r>
      <w:r w:rsidR="00984C0A">
        <w:rPr>
          <w:rFonts w:cs="Times New Roman"/>
        </w:rPr>
        <w:t>’</w:t>
      </w:r>
      <w:r w:rsidRPr="00FD0B79">
        <w:rPr>
          <w:rFonts w:cs="Times New Roman"/>
        </w:rPr>
        <w:t xml:space="preserve"> incorporates the notion of long-term availability and </w:t>
      </w:r>
      <w:r w:rsidR="00984C0A">
        <w:rPr>
          <w:rFonts w:cs="Times New Roman"/>
        </w:rPr>
        <w:t>’</w:t>
      </w:r>
      <w:r w:rsidRPr="00FD0B79">
        <w:rPr>
          <w:rFonts w:cs="Times New Roman"/>
        </w:rPr>
        <w:t>accessibility</w:t>
      </w:r>
      <w:r w:rsidR="00984C0A">
        <w:rPr>
          <w:rFonts w:cs="Times New Roman"/>
        </w:rPr>
        <w:t>.’</w:t>
      </w:r>
    </w:p>
    <w:p w:rsidR="00C37693" w:rsidRPr="00FD0B79" w:rsidRDefault="003E3B8C" w:rsidP="006E2D8B">
      <w:pPr>
        <w:rPr>
          <w:rFonts w:cs="Times New Roman"/>
        </w:rPr>
      </w:pPr>
      <w:r w:rsidRPr="00FD0B79">
        <w:rPr>
          <w:rFonts w:cs="Times New Roman"/>
        </w:rPr>
        <w:lastRenderedPageBreak/>
        <w:t xml:space="preserve">A similar line of reasoning </w:t>
      </w:r>
      <w:r w:rsidR="00C37693" w:rsidRPr="00FD0B79">
        <w:rPr>
          <w:rFonts w:cs="Times New Roman"/>
        </w:rPr>
        <w:t>is applied in the interpretation of the right to water in G</w:t>
      </w:r>
      <w:r w:rsidRPr="00FD0B79">
        <w:rPr>
          <w:rFonts w:cs="Times New Roman"/>
        </w:rPr>
        <w:t>eneral Comment</w:t>
      </w:r>
      <w:r w:rsidR="00C37693" w:rsidRPr="00FD0B79">
        <w:rPr>
          <w:rFonts w:cs="Times New Roman"/>
        </w:rPr>
        <w:t xml:space="preserve"> 15. </w:t>
      </w:r>
      <w:r w:rsidRPr="00FD0B79">
        <w:rPr>
          <w:rFonts w:cs="Times New Roman"/>
        </w:rPr>
        <w:t>The</w:t>
      </w:r>
      <w:r w:rsidR="00C37693" w:rsidRPr="00FD0B79">
        <w:rPr>
          <w:rFonts w:cs="Times New Roman"/>
        </w:rPr>
        <w:t xml:space="preserve"> Comment states that the right to water contains two rights dimensions</w:t>
      </w:r>
      <w:r w:rsidR="00984C0A">
        <w:rPr>
          <w:rFonts w:cs="Times New Roman"/>
        </w:rPr>
        <w:t xml:space="preserve">, </w:t>
      </w:r>
      <w:r w:rsidR="00C37693" w:rsidRPr="00FD0B79">
        <w:rPr>
          <w:rFonts w:cs="Times New Roman"/>
        </w:rPr>
        <w:t xml:space="preserve">freedom and entitlement. The freedom dimension implies that the rights-holder has a right to </w:t>
      </w:r>
      <w:r w:rsidR="00984C0A">
        <w:rPr>
          <w:rFonts w:cs="Times New Roman"/>
        </w:rPr>
        <w:t>‘</w:t>
      </w:r>
      <w:r w:rsidR="00C37693" w:rsidRPr="00FD0B79">
        <w:rPr>
          <w:rFonts w:cs="Times New Roman"/>
        </w:rPr>
        <w:t>maintain access to existing water supply necessary for the right to water</w:t>
      </w:r>
      <w:r w:rsidR="00984C0A">
        <w:rPr>
          <w:rFonts w:cs="Times New Roman"/>
        </w:rPr>
        <w:t>’</w:t>
      </w:r>
      <w:r w:rsidR="00984C0A" w:rsidRPr="00FD0B79">
        <w:rPr>
          <w:rStyle w:val="FootnoteReference"/>
          <w:rFonts w:ascii="Times New Roman" w:hAnsi="Times New Roman" w:cs="Times New Roman"/>
        </w:rPr>
        <w:footnoteReference w:id="19"/>
      </w:r>
      <w:r w:rsidR="00984C0A" w:rsidRPr="00FD0B79">
        <w:rPr>
          <w:rFonts w:cs="Times New Roman"/>
        </w:rPr>
        <w:t xml:space="preserve"> </w:t>
      </w:r>
      <w:r w:rsidR="00C37693" w:rsidRPr="00FD0B79">
        <w:rPr>
          <w:rFonts w:cs="Times New Roman"/>
        </w:rPr>
        <w:t>and be free from “arbitrary disconnections or contamination of water supplies</w:t>
      </w:r>
      <w:r w:rsidRPr="00FD0B79">
        <w:rPr>
          <w:rFonts w:cs="Times New Roman"/>
        </w:rPr>
        <w:t>.</w:t>
      </w:r>
      <w:r w:rsidR="00984C0A">
        <w:rPr>
          <w:rFonts w:cs="Times New Roman"/>
        </w:rPr>
        <w:t>’</w:t>
      </w:r>
      <w:r w:rsidRPr="00FD0B79">
        <w:rPr>
          <w:rStyle w:val="FootnoteReference"/>
          <w:rFonts w:ascii="Times New Roman" w:hAnsi="Times New Roman" w:cs="Times New Roman"/>
        </w:rPr>
        <w:footnoteReference w:id="20"/>
      </w:r>
      <w:r w:rsidR="00C37693" w:rsidRPr="00FD0B79">
        <w:rPr>
          <w:rFonts w:cs="Times New Roman"/>
        </w:rPr>
        <w:t xml:space="preserve"> This, indeed, is a burning issue, in particular in fast-growing urban centres in many parts of the world. The entitlement dimension implies that the State Party, the primary duty-holder, is obliged to secure people’s entitlements, which </w:t>
      </w:r>
      <w:r w:rsidR="00984C0A">
        <w:rPr>
          <w:rFonts w:cs="Times New Roman"/>
        </w:rPr>
        <w:t>‘</w:t>
      </w:r>
      <w:r w:rsidR="00C37693" w:rsidRPr="00FD0B79">
        <w:rPr>
          <w:rFonts w:cs="Times New Roman"/>
        </w:rPr>
        <w:t>include the right to a system of water supply and management that provides equality of opportunity for people to enjoy the right to water</w:t>
      </w:r>
      <w:r w:rsidRPr="00FD0B79">
        <w:rPr>
          <w:rFonts w:cs="Times New Roman"/>
        </w:rPr>
        <w:t>.</w:t>
      </w:r>
      <w:r w:rsidR="00984C0A">
        <w:rPr>
          <w:rFonts w:cs="Times New Roman"/>
        </w:rPr>
        <w:t>’</w:t>
      </w:r>
      <w:r w:rsidRPr="00FD0B79">
        <w:rPr>
          <w:rStyle w:val="FootnoteReference"/>
          <w:rFonts w:ascii="Times New Roman" w:hAnsi="Times New Roman" w:cs="Times New Roman"/>
        </w:rPr>
        <w:footnoteReference w:id="21"/>
      </w:r>
      <w:r w:rsidR="00C37693" w:rsidRPr="00FD0B79">
        <w:rPr>
          <w:rFonts w:cs="Times New Roman"/>
        </w:rPr>
        <w:t xml:space="preserve">  It follows from this entitlement that </w:t>
      </w:r>
      <w:r w:rsidR="003D3981">
        <w:rPr>
          <w:rFonts w:cs="Times New Roman"/>
        </w:rPr>
        <w:t xml:space="preserve">the </w:t>
      </w:r>
      <w:r w:rsidR="00C37693" w:rsidRPr="00FD0B79">
        <w:rPr>
          <w:rFonts w:cs="Times New Roman"/>
        </w:rPr>
        <w:t xml:space="preserve">supply of water should be available at all times, and </w:t>
      </w:r>
      <w:r w:rsidR="0027142E">
        <w:rPr>
          <w:rFonts w:cs="Times New Roman"/>
        </w:rPr>
        <w:t>‘</w:t>
      </w:r>
      <w:r w:rsidR="00C37693" w:rsidRPr="00FD0B79">
        <w:rPr>
          <w:rFonts w:cs="Times New Roman"/>
        </w:rPr>
        <w:t>sufficient and continuous for personal and domestic uses</w:t>
      </w:r>
      <w:r w:rsidR="006E2D8B" w:rsidRPr="00FD0B79">
        <w:rPr>
          <w:rFonts w:cs="Times New Roman"/>
        </w:rPr>
        <w:t>.</w:t>
      </w:r>
      <w:r w:rsidR="0027142E">
        <w:rPr>
          <w:rFonts w:cs="Times New Roman"/>
        </w:rPr>
        <w:t>’</w:t>
      </w:r>
      <w:r w:rsidR="006E2D8B" w:rsidRPr="00FD0B79">
        <w:rPr>
          <w:rStyle w:val="FootnoteReference"/>
          <w:rFonts w:ascii="Times New Roman" w:hAnsi="Times New Roman" w:cs="Times New Roman"/>
        </w:rPr>
        <w:footnoteReference w:id="22"/>
      </w:r>
      <w:r w:rsidR="00C37693" w:rsidRPr="00FD0B79">
        <w:rPr>
          <w:rFonts w:cs="Times New Roman"/>
        </w:rPr>
        <w:t xml:space="preserve"> Water should be available </w:t>
      </w:r>
      <w:r w:rsidR="003D3981">
        <w:rPr>
          <w:rFonts w:cs="Times New Roman"/>
        </w:rPr>
        <w:t>regularly</w:t>
      </w:r>
      <w:r w:rsidR="00C37693" w:rsidRPr="00FD0B79">
        <w:rPr>
          <w:rFonts w:cs="Times New Roman"/>
        </w:rPr>
        <w:t xml:space="preserve"> for drinking, sanitation, hygienic purposes and food preparation. It should be available in sufficient quality </w:t>
      </w:r>
      <w:r w:rsidR="006E2D8B" w:rsidRPr="00FD0B79">
        <w:rPr>
          <w:rFonts w:cs="Times New Roman"/>
        </w:rPr>
        <w:t>which include</w:t>
      </w:r>
      <w:r w:rsidR="003D3981">
        <w:rPr>
          <w:rFonts w:cs="Times New Roman"/>
        </w:rPr>
        <w:t>s</w:t>
      </w:r>
      <w:r w:rsidR="006E2D8B" w:rsidRPr="00FD0B79">
        <w:rPr>
          <w:rFonts w:cs="Times New Roman"/>
        </w:rPr>
        <w:t xml:space="preserve"> being </w:t>
      </w:r>
      <w:r w:rsidR="00C37693" w:rsidRPr="00FD0B79">
        <w:rPr>
          <w:rFonts w:cs="Times New Roman"/>
        </w:rPr>
        <w:t>safe from substances that threaten health, physically and economically accessible for all</w:t>
      </w:r>
      <w:r w:rsidR="006E2D8B" w:rsidRPr="00FD0B79">
        <w:rPr>
          <w:rFonts w:cs="Times New Roman"/>
        </w:rPr>
        <w:t>,</w:t>
      </w:r>
      <w:r w:rsidR="00C37693" w:rsidRPr="00FD0B79">
        <w:rPr>
          <w:rFonts w:cs="Times New Roman"/>
        </w:rPr>
        <w:t xml:space="preserve"> and without discrimination on social status, living environment, or other grounds of social differences. In today’s world, these requirements are often non-existent. United Nations estimates suggest that in 2022, 2 billion people were lacking access to safe water supply.</w:t>
      </w:r>
      <w:r w:rsidR="00C37693" w:rsidRPr="00FD0B79">
        <w:rPr>
          <w:rFonts w:cs="Times New Roman"/>
          <w:vertAlign w:val="superscript"/>
        </w:rPr>
        <w:footnoteReference w:id="23"/>
      </w:r>
      <w:r w:rsidR="00C37693" w:rsidRPr="00FD0B79">
        <w:rPr>
          <w:rFonts w:cs="Times New Roman"/>
          <w:vertAlign w:val="superscript"/>
        </w:rPr>
        <w:t xml:space="preserve"> </w:t>
      </w:r>
    </w:p>
    <w:p w:rsidR="00C37693" w:rsidRPr="00FD0B79" w:rsidRDefault="00C37693" w:rsidP="00260700">
      <w:pPr>
        <w:pStyle w:val="Heading2"/>
      </w:pPr>
      <w:r w:rsidRPr="00FD0B79">
        <w:t xml:space="preserve">The scope of the right to water </w:t>
      </w:r>
    </w:p>
    <w:p w:rsidR="00C37693" w:rsidRPr="00FD0B79" w:rsidRDefault="00C37693" w:rsidP="007450E6">
      <w:pPr>
        <w:rPr>
          <w:rFonts w:cs="Times New Roman"/>
        </w:rPr>
      </w:pPr>
      <w:r w:rsidRPr="00FD0B79">
        <w:rPr>
          <w:rFonts w:cs="Times New Roman"/>
        </w:rPr>
        <w:t>A controversy of significant importance to many people living in poverty in rural and peri-urban areas around the world is the scope of the right to water</w:t>
      </w:r>
      <w:r w:rsidR="006E2D8B" w:rsidRPr="00FD0B79">
        <w:rPr>
          <w:rFonts w:cs="Times New Roman"/>
        </w:rPr>
        <w:t>.</w:t>
      </w:r>
      <w:r w:rsidRPr="00FD0B79">
        <w:rPr>
          <w:rFonts w:cs="Times New Roman"/>
        </w:rPr>
        <w:t xml:space="preserve"> Is the right </w:t>
      </w:r>
      <w:r w:rsidR="003D3981">
        <w:rPr>
          <w:rFonts w:cs="Times New Roman"/>
        </w:rPr>
        <w:t>to secure</w:t>
      </w:r>
      <w:r w:rsidRPr="00FD0B79">
        <w:rPr>
          <w:rFonts w:cs="Times New Roman"/>
        </w:rPr>
        <w:t xml:space="preserve"> water for personal and domestic use only, or is it broader and intended to ensure water for productive livelihood</w:t>
      </w:r>
      <w:r w:rsidR="006E2D8B" w:rsidRPr="00FD0B79">
        <w:rPr>
          <w:rFonts w:cs="Times New Roman"/>
        </w:rPr>
        <w:t>?</w:t>
      </w:r>
      <w:r w:rsidRPr="00FD0B79">
        <w:rPr>
          <w:rFonts w:cs="Times New Roman"/>
        </w:rPr>
        <w:t xml:space="preserve"> While the World Health Organisation estimates that every person needs 20-25 litres per day as a survival minimum, water </w:t>
      </w:r>
      <w:r w:rsidRPr="00FD0B79">
        <w:rPr>
          <w:rFonts w:cs="Times New Roman"/>
        </w:rPr>
        <w:lastRenderedPageBreak/>
        <w:t>for productive livelihood would require much more, varying with climatic and other conditions</w:t>
      </w:r>
      <w:r w:rsidR="0027142E">
        <w:rPr>
          <w:rFonts w:cs="Times New Roman"/>
        </w:rPr>
        <w:t xml:space="preserve"> and considerations</w:t>
      </w:r>
      <w:r w:rsidRPr="00FD0B79">
        <w:rPr>
          <w:rFonts w:cs="Times New Roman"/>
        </w:rPr>
        <w:t xml:space="preserve">. Some legal research argues that a narrow definition of water use is inadequate to address the legitimate subsistence demands that poor and vulnerable people have in many rural and peri-urban communities. </w:t>
      </w:r>
      <w:proofErr w:type="spellStart"/>
      <w:r w:rsidRPr="00FD0B79">
        <w:rPr>
          <w:rFonts w:cs="Times New Roman"/>
        </w:rPr>
        <w:t>Hellum</w:t>
      </w:r>
      <w:proofErr w:type="spellEnd"/>
      <w:r w:rsidRPr="00FD0B79">
        <w:rPr>
          <w:rFonts w:cs="Times New Roman"/>
        </w:rPr>
        <w:t xml:space="preserve"> </w:t>
      </w:r>
      <w:r w:rsidRPr="00FD0B79">
        <w:rPr>
          <w:rFonts w:cs="Times New Roman"/>
          <w:i/>
        </w:rPr>
        <w:t>et al</w:t>
      </w:r>
      <w:r w:rsidRPr="00FD0B79">
        <w:rPr>
          <w:rFonts w:cs="Times New Roman"/>
        </w:rPr>
        <w:t xml:space="preserve"> (2015) argue that the right to water should be interpreted in broader terms.</w:t>
      </w:r>
      <w:r w:rsidR="006E2D8B" w:rsidRPr="00FD0B79">
        <w:rPr>
          <w:rStyle w:val="FootnoteReference"/>
          <w:rFonts w:ascii="Times New Roman" w:hAnsi="Times New Roman" w:cs="Times New Roman"/>
        </w:rPr>
        <w:footnoteReference w:id="24"/>
      </w:r>
      <w:r w:rsidRPr="00FD0B79">
        <w:rPr>
          <w:rFonts w:cs="Times New Roman"/>
        </w:rPr>
        <w:t xml:space="preserve"> Their approach suggests that taking the right to water seriously for rural and peri-urban people requires that we establish the interconnectedness of water to other basic human rights goods, such as the prevention of malnutrition</w:t>
      </w:r>
      <w:r w:rsidR="00231A25" w:rsidRPr="00FD0B79">
        <w:rPr>
          <w:rFonts w:cs="Times New Roman"/>
        </w:rPr>
        <w:t xml:space="preserve"> which is actually </w:t>
      </w:r>
      <w:r w:rsidRPr="00FD0B79">
        <w:rPr>
          <w:rFonts w:cs="Times New Roman"/>
        </w:rPr>
        <w:t xml:space="preserve">the right to adequate food, prevention of starvation </w:t>
      </w:r>
      <w:r w:rsidR="00231A25" w:rsidRPr="00FD0B79">
        <w:rPr>
          <w:rFonts w:cs="Times New Roman"/>
        </w:rPr>
        <w:t xml:space="preserve">which translates to </w:t>
      </w:r>
      <w:r w:rsidRPr="00FD0B79">
        <w:rPr>
          <w:rFonts w:cs="Times New Roman"/>
        </w:rPr>
        <w:t xml:space="preserve">freedom from hunger, </w:t>
      </w:r>
      <w:r w:rsidR="00231A25" w:rsidRPr="00FD0B79">
        <w:rPr>
          <w:rFonts w:cs="Times New Roman"/>
        </w:rPr>
        <w:t xml:space="preserve">or </w:t>
      </w:r>
      <w:r w:rsidRPr="00FD0B79">
        <w:rPr>
          <w:rFonts w:cs="Times New Roman"/>
        </w:rPr>
        <w:t>right to life</w:t>
      </w:r>
      <w:r w:rsidR="00231A25" w:rsidRPr="00FD0B79">
        <w:rPr>
          <w:rFonts w:cs="Times New Roman"/>
        </w:rPr>
        <w:t xml:space="preserve">, </w:t>
      </w:r>
      <w:r w:rsidRPr="00FD0B79">
        <w:rPr>
          <w:rFonts w:cs="Times New Roman"/>
        </w:rPr>
        <w:t>and protection against preventable diseases</w:t>
      </w:r>
      <w:r w:rsidR="00231A25" w:rsidRPr="00FD0B79">
        <w:rPr>
          <w:rFonts w:cs="Times New Roman"/>
        </w:rPr>
        <w:t>, which translates to the r</w:t>
      </w:r>
      <w:r w:rsidRPr="00FD0B79">
        <w:rPr>
          <w:rFonts w:cs="Times New Roman"/>
        </w:rPr>
        <w:t>ight to health. The G</w:t>
      </w:r>
      <w:r w:rsidR="00231A25" w:rsidRPr="00FD0B79">
        <w:rPr>
          <w:rFonts w:cs="Times New Roman"/>
        </w:rPr>
        <w:t>eneral Comment</w:t>
      </w:r>
      <w:r w:rsidRPr="00FD0B79">
        <w:rPr>
          <w:rFonts w:cs="Times New Roman"/>
        </w:rPr>
        <w:t xml:space="preserve"> 15 is ambiguous on th</w:t>
      </w:r>
      <w:r w:rsidR="0027142E">
        <w:rPr>
          <w:rFonts w:cs="Times New Roman"/>
        </w:rPr>
        <w:t>is</w:t>
      </w:r>
      <w:r w:rsidRPr="00FD0B79">
        <w:rPr>
          <w:rFonts w:cs="Times New Roman"/>
        </w:rPr>
        <w:t xml:space="preserve"> issue. </w:t>
      </w:r>
      <w:proofErr w:type="spellStart"/>
      <w:r w:rsidRPr="00FD0B79">
        <w:rPr>
          <w:rFonts w:cs="Times New Roman"/>
        </w:rPr>
        <w:t>Hellum</w:t>
      </w:r>
      <w:proofErr w:type="spellEnd"/>
      <w:r w:rsidRPr="00FD0B79">
        <w:rPr>
          <w:rFonts w:cs="Times New Roman"/>
        </w:rPr>
        <w:t xml:space="preserve"> </w:t>
      </w:r>
      <w:r w:rsidRPr="00FD0B79">
        <w:rPr>
          <w:rFonts w:cs="Times New Roman"/>
          <w:i/>
        </w:rPr>
        <w:t>et al</w:t>
      </w:r>
      <w:r w:rsidRPr="00FD0B79">
        <w:rPr>
          <w:rFonts w:cs="Times New Roman"/>
        </w:rPr>
        <w:t>, however, refer to the Protocol to the African Charter on the Rights of Women in Africa,</w:t>
      </w:r>
      <w:r w:rsidR="00231A25" w:rsidRPr="00FD0B79">
        <w:rPr>
          <w:rStyle w:val="FootnoteReference"/>
          <w:rFonts w:ascii="Times New Roman" w:hAnsi="Times New Roman" w:cs="Times New Roman"/>
        </w:rPr>
        <w:footnoteReference w:id="25"/>
      </w:r>
      <w:r w:rsidRPr="00FD0B79">
        <w:rPr>
          <w:rFonts w:cs="Times New Roman"/>
        </w:rPr>
        <w:t xml:space="preserve"> which states that the State Party should </w:t>
      </w:r>
      <w:r w:rsidR="0027142E">
        <w:rPr>
          <w:rFonts w:cs="Times New Roman"/>
        </w:rPr>
        <w:t>‘</w:t>
      </w:r>
      <w:r w:rsidRPr="00FD0B79">
        <w:rPr>
          <w:rFonts w:cs="Times New Roman"/>
        </w:rPr>
        <w:t>provide women with access to clean drinking water, sources of domestic fuel, land and the means of producing nutritious food</w:t>
      </w:r>
      <w:r w:rsidR="00231A25" w:rsidRPr="00FD0B79">
        <w:rPr>
          <w:rFonts w:cs="Times New Roman"/>
        </w:rPr>
        <w:t>.</w:t>
      </w:r>
      <w:r w:rsidR="0027142E">
        <w:rPr>
          <w:rFonts w:cs="Times New Roman"/>
        </w:rPr>
        <w:t>’</w:t>
      </w:r>
      <w:r w:rsidR="00231A25" w:rsidRPr="00FD0B79">
        <w:rPr>
          <w:rStyle w:val="FootnoteReference"/>
          <w:rFonts w:ascii="Times New Roman" w:hAnsi="Times New Roman" w:cs="Times New Roman"/>
        </w:rPr>
        <w:footnoteReference w:id="26"/>
      </w:r>
      <w:r w:rsidRPr="00FD0B79">
        <w:rPr>
          <w:rFonts w:cs="Times New Roman"/>
        </w:rPr>
        <w:t xml:space="preserve"> This Protocol, in other words, establishes a right to water for productive purposes and illustrates the link between state duty to provide and state duty to facilitate self-subsistence referred to above: The State has a duty to provide essential rights </w:t>
      </w:r>
      <w:r w:rsidR="0027142E">
        <w:rPr>
          <w:rFonts w:cs="Times New Roman"/>
        </w:rPr>
        <w:t xml:space="preserve">as </w:t>
      </w:r>
      <w:r w:rsidR="003D3981">
        <w:rPr>
          <w:rFonts w:cs="Times New Roman"/>
        </w:rPr>
        <w:t>well</w:t>
      </w:r>
      <w:r w:rsidR="0027142E">
        <w:rPr>
          <w:rFonts w:cs="Times New Roman"/>
        </w:rPr>
        <w:t xml:space="preserve"> as </w:t>
      </w:r>
      <w:r w:rsidR="0027142E" w:rsidRPr="00FD0B79">
        <w:rPr>
          <w:rFonts w:cs="Times New Roman"/>
        </w:rPr>
        <w:t>sufficient</w:t>
      </w:r>
      <w:r w:rsidRPr="00FD0B79">
        <w:rPr>
          <w:rFonts w:cs="Times New Roman"/>
        </w:rPr>
        <w:t xml:space="preserve"> and safe water</w:t>
      </w:r>
      <w:r w:rsidR="0027142E">
        <w:rPr>
          <w:rFonts w:cs="Times New Roman"/>
        </w:rPr>
        <w:t xml:space="preserve">, </w:t>
      </w:r>
      <w:r w:rsidRPr="00FD0B79">
        <w:rPr>
          <w:rFonts w:cs="Times New Roman"/>
        </w:rPr>
        <w:t>for self-subsistence farming in rural and peri-urban settings, and hence, facilitate self-provision of food. Rights self-provision requires state facilitation</w:t>
      </w:r>
      <w:r w:rsidR="0027142E">
        <w:rPr>
          <w:rFonts w:cs="Times New Roman"/>
        </w:rPr>
        <w:t xml:space="preserve"> hence confers a duty to the state</w:t>
      </w:r>
      <w:r w:rsidRPr="00FD0B79">
        <w:rPr>
          <w:rFonts w:cs="Times New Roman"/>
        </w:rPr>
        <w:t xml:space="preserve">. </w:t>
      </w:r>
    </w:p>
    <w:p w:rsidR="00C37693" w:rsidRPr="00FD0B79" w:rsidRDefault="00C37693" w:rsidP="00231A25">
      <w:pPr>
        <w:spacing w:line="240" w:lineRule="auto"/>
        <w:rPr>
          <w:rFonts w:cs="Times New Roman"/>
        </w:rPr>
      </w:pPr>
    </w:p>
    <w:p w:rsidR="00C37693" w:rsidRPr="00FD0B79" w:rsidRDefault="00C37693" w:rsidP="000D325C">
      <w:pPr>
        <w:spacing w:after="240"/>
        <w:rPr>
          <w:rFonts w:cs="Times New Roman"/>
        </w:rPr>
      </w:pPr>
      <w:r w:rsidRPr="00FD0B79">
        <w:rPr>
          <w:rFonts w:cs="Times New Roman"/>
        </w:rPr>
        <w:t xml:space="preserve">Accordingly, the right to water is </w:t>
      </w:r>
      <w:r w:rsidR="00C23168">
        <w:rPr>
          <w:rFonts w:cs="Times New Roman"/>
        </w:rPr>
        <w:t xml:space="preserve">conceived and </w:t>
      </w:r>
      <w:r w:rsidRPr="00FD0B79">
        <w:rPr>
          <w:rFonts w:cs="Times New Roman"/>
        </w:rPr>
        <w:t xml:space="preserve">defined </w:t>
      </w:r>
      <w:r w:rsidR="0027142E">
        <w:rPr>
          <w:rFonts w:cs="Times New Roman"/>
        </w:rPr>
        <w:t>‘</w:t>
      </w:r>
      <w:r w:rsidRPr="00FD0B79">
        <w:rPr>
          <w:rFonts w:cs="Times New Roman"/>
        </w:rPr>
        <w:t>through its links to the right to life, the right to food, and the right to health</w:t>
      </w:r>
      <w:r w:rsidR="00231A25" w:rsidRPr="00FD0B79">
        <w:rPr>
          <w:rFonts w:cs="Times New Roman"/>
        </w:rPr>
        <w:t>.</w:t>
      </w:r>
      <w:r w:rsidR="0027142E">
        <w:rPr>
          <w:rFonts w:cs="Times New Roman"/>
        </w:rPr>
        <w:t>’</w:t>
      </w:r>
      <w:r w:rsidR="00231A25" w:rsidRPr="00FD0B79">
        <w:rPr>
          <w:rStyle w:val="FootnoteReference"/>
          <w:rFonts w:ascii="Times New Roman" w:hAnsi="Times New Roman" w:cs="Times New Roman"/>
        </w:rPr>
        <w:footnoteReference w:id="27"/>
      </w:r>
      <w:r w:rsidRPr="00FD0B79">
        <w:rPr>
          <w:rFonts w:cs="Times New Roman"/>
        </w:rPr>
        <w:t xml:space="preserve"> The right to water such defined is then not just a right to personal nutrition and hygienic use of water</w:t>
      </w:r>
      <w:r w:rsidR="000D325C" w:rsidRPr="00FD0B79">
        <w:rPr>
          <w:rFonts w:cs="Times New Roman"/>
        </w:rPr>
        <w:t xml:space="preserve"> but should be </w:t>
      </w:r>
      <w:r w:rsidRPr="00FD0B79">
        <w:rPr>
          <w:rFonts w:cs="Times New Roman"/>
        </w:rPr>
        <w:t xml:space="preserve">interpreted </w:t>
      </w:r>
      <w:r w:rsidR="000D325C" w:rsidRPr="00FD0B79">
        <w:rPr>
          <w:rFonts w:cs="Times New Roman"/>
        </w:rPr>
        <w:t xml:space="preserve">to include </w:t>
      </w:r>
      <w:r w:rsidR="003D3981">
        <w:rPr>
          <w:rFonts w:cs="Times New Roman"/>
        </w:rPr>
        <w:t xml:space="preserve">the </w:t>
      </w:r>
      <w:r w:rsidRPr="00FD0B79">
        <w:rPr>
          <w:rFonts w:cs="Times New Roman"/>
        </w:rPr>
        <w:t xml:space="preserve">right to productive uses enabling self-provision by farming in rural and peri-urban areas. Although this may still be a contested interpretation of the scope of the right to water, a legal-dynamic and rights-interrelated interpretation of the right indicates that the scope of the right to water </w:t>
      </w:r>
      <w:r w:rsidRPr="00FD0B79">
        <w:rPr>
          <w:rFonts w:cs="Times New Roman"/>
        </w:rPr>
        <w:lastRenderedPageBreak/>
        <w:t xml:space="preserve">should be enlarged to include uses for productive self-provision of vulnerable groups in rural and peri-urban communities. </w:t>
      </w:r>
    </w:p>
    <w:p w:rsidR="00C37693" w:rsidRPr="00FD0B79" w:rsidRDefault="00C37693" w:rsidP="007450E6">
      <w:pPr>
        <w:rPr>
          <w:rFonts w:cs="Times New Roman"/>
        </w:rPr>
      </w:pPr>
      <w:r w:rsidRPr="00FD0B79">
        <w:rPr>
          <w:rFonts w:cs="Times New Roman"/>
        </w:rPr>
        <w:t>From a broader and dynamic approach to the right to water</w:t>
      </w:r>
      <w:r w:rsidR="00C23168">
        <w:rPr>
          <w:rFonts w:cs="Times New Roman"/>
        </w:rPr>
        <w:t xml:space="preserve">, and seen within this that </w:t>
      </w:r>
      <w:r w:rsidRPr="00FD0B79">
        <w:rPr>
          <w:rFonts w:cs="Times New Roman"/>
        </w:rPr>
        <w:t xml:space="preserve"> it is unfortunate that the otherwise important Sustainable Development Goal </w:t>
      </w:r>
      <w:r w:rsidR="00C23168">
        <w:rPr>
          <w:rFonts w:cs="Times New Roman"/>
        </w:rPr>
        <w:t xml:space="preserve">(SDG) </w:t>
      </w:r>
      <w:r w:rsidRPr="00FD0B79">
        <w:rPr>
          <w:rFonts w:cs="Times New Roman"/>
        </w:rPr>
        <w:t xml:space="preserve">6: </w:t>
      </w:r>
      <w:r w:rsidR="00C23168">
        <w:rPr>
          <w:rFonts w:cs="Times New Roman"/>
        </w:rPr>
        <w:t>[e]</w:t>
      </w:r>
      <w:proofErr w:type="spellStart"/>
      <w:r w:rsidRPr="00FD0B79">
        <w:rPr>
          <w:rFonts w:cs="Times New Roman"/>
        </w:rPr>
        <w:t>nsure</w:t>
      </w:r>
      <w:proofErr w:type="spellEnd"/>
      <w:r w:rsidRPr="00FD0B79">
        <w:rPr>
          <w:rFonts w:cs="Times New Roman"/>
        </w:rPr>
        <w:t xml:space="preserve"> availability and sustainable management of water and sanitation for all is focussing on the narrower interpretation of water uses, that is, clean drinking water and sanitation.</w:t>
      </w:r>
      <w:r w:rsidR="000D325C" w:rsidRPr="00FD0B79">
        <w:rPr>
          <w:rStyle w:val="FootnoteReference"/>
          <w:rFonts w:ascii="Times New Roman" w:hAnsi="Times New Roman" w:cs="Times New Roman"/>
        </w:rPr>
        <w:footnoteReference w:id="28"/>
      </w:r>
      <w:r w:rsidRPr="00FD0B79">
        <w:rPr>
          <w:rFonts w:cs="Times New Roman"/>
        </w:rPr>
        <w:t xml:space="preserve"> From a human rights perspective</w:t>
      </w:r>
      <w:r w:rsidR="003D3981">
        <w:rPr>
          <w:rFonts w:cs="Times New Roman"/>
        </w:rPr>
        <w:t>,</w:t>
      </w:r>
      <w:r w:rsidRPr="00FD0B79">
        <w:rPr>
          <w:rFonts w:cs="Times New Roman"/>
        </w:rPr>
        <w:t xml:space="preserve"> it is problematic that the SDG </w:t>
      </w:r>
      <w:r w:rsidR="00C23168">
        <w:rPr>
          <w:rFonts w:cs="Times New Roman"/>
        </w:rPr>
        <w:t xml:space="preserve">Goal </w:t>
      </w:r>
      <w:r w:rsidRPr="00FD0B79">
        <w:rPr>
          <w:rFonts w:cs="Times New Roman"/>
        </w:rPr>
        <w:t xml:space="preserve">6 does not refer to water as a basic human right. Defining access to water as a human right would strengthen demand for state commitment to adequate and sustainable management of water resources, and would entail a right to remedy for those suffering from inadequate water resources.  </w:t>
      </w:r>
    </w:p>
    <w:p w:rsidR="00C37693" w:rsidRPr="00FD0B79" w:rsidRDefault="00C37693" w:rsidP="007450E6">
      <w:pPr>
        <w:spacing w:line="240" w:lineRule="auto"/>
        <w:rPr>
          <w:rFonts w:cs="Times New Roman"/>
        </w:rPr>
      </w:pPr>
    </w:p>
    <w:p w:rsidR="00C37693" w:rsidRPr="00FD0B79" w:rsidRDefault="00C37693" w:rsidP="00260700">
      <w:pPr>
        <w:pStyle w:val="Heading2"/>
      </w:pPr>
      <w:r w:rsidRPr="00FD0B79">
        <w:t>Water conflicts and the human right to water</w:t>
      </w:r>
    </w:p>
    <w:p w:rsidR="00C37693" w:rsidRPr="00FD0B79" w:rsidRDefault="00C37693" w:rsidP="007450E6">
      <w:pPr>
        <w:rPr>
          <w:rFonts w:cs="Times New Roman"/>
        </w:rPr>
      </w:pPr>
      <w:r w:rsidRPr="00FD0B79">
        <w:rPr>
          <w:rFonts w:cs="Times New Roman"/>
        </w:rPr>
        <w:t xml:space="preserve">There is another important issue that makes water critical </w:t>
      </w:r>
      <w:r w:rsidR="003D3981">
        <w:rPr>
          <w:rFonts w:cs="Times New Roman"/>
        </w:rPr>
        <w:t>from</w:t>
      </w:r>
      <w:r w:rsidRPr="00FD0B79">
        <w:rPr>
          <w:rFonts w:cs="Times New Roman"/>
        </w:rPr>
        <w:t xml:space="preserve"> a human rights perspective</w:t>
      </w:r>
      <w:r w:rsidR="00C23168">
        <w:rPr>
          <w:rFonts w:cs="Times New Roman"/>
        </w:rPr>
        <w:t>; t</w:t>
      </w:r>
      <w:r w:rsidRPr="00FD0B79">
        <w:rPr>
          <w:rFonts w:cs="Times New Roman"/>
        </w:rPr>
        <w:t xml:space="preserve">he </w:t>
      </w:r>
      <w:r w:rsidR="00C23168" w:rsidRPr="00FD0B79">
        <w:rPr>
          <w:rFonts w:cs="Times New Roman"/>
        </w:rPr>
        <w:t>potential and</w:t>
      </w:r>
      <w:r w:rsidRPr="00FD0B79">
        <w:rPr>
          <w:rFonts w:cs="Times New Roman"/>
        </w:rPr>
        <w:t xml:space="preserve"> </w:t>
      </w:r>
      <w:r w:rsidR="00C23168" w:rsidRPr="00FD0B79">
        <w:rPr>
          <w:rFonts w:cs="Times New Roman"/>
        </w:rPr>
        <w:t>actual conflicts</w:t>
      </w:r>
      <w:r w:rsidRPr="00FD0B79">
        <w:rPr>
          <w:rFonts w:cs="Times New Roman"/>
        </w:rPr>
        <w:t xml:space="preserve"> over access to water. Access to fresh and clean water is increasingly scarce in many parts of the world. According to the Pacific Institute, water is one of the most critical resources in the world and </w:t>
      </w:r>
      <w:r w:rsidR="003D3981">
        <w:rPr>
          <w:rFonts w:cs="Times New Roman"/>
        </w:rPr>
        <w:t>is</w:t>
      </w:r>
      <w:r w:rsidRPr="00FD0B79">
        <w:rPr>
          <w:rFonts w:cs="Times New Roman"/>
        </w:rPr>
        <w:t xml:space="preserve"> not resilient</w:t>
      </w:r>
      <w:r w:rsidR="00E34236" w:rsidRPr="00FD0B79">
        <w:rPr>
          <w:rFonts w:cs="Times New Roman"/>
        </w:rPr>
        <w:t>.</w:t>
      </w:r>
      <w:r w:rsidR="000D325C" w:rsidRPr="00FD0B79">
        <w:rPr>
          <w:rStyle w:val="FootnoteReference"/>
          <w:rFonts w:ascii="Times New Roman" w:hAnsi="Times New Roman" w:cs="Times New Roman"/>
        </w:rPr>
        <w:footnoteReference w:id="29"/>
      </w:r>
      <w:r w:rsidRPr="00FD0B79">
        <w:rPr>
          <w:rFonts w:cs="Times New Roman"/>
        </w:rPr>
        <w:t xml:space="preserve"> It is a source of violent conflict within communities and between countries around the world. While water is basic to </w:t>
      </w:r>
      <w:r w:rsidR="003D3981">
        <w:rPr>
          <w:rFonts w:cs="Times New Roman"/>
        </w:rPr>
        <w:t xml:space="preserve">the </w:t>
      </w:r>
      <w:r w:rsidRPr="00FD0B79">
        <w:rPr>
          <w:rFonts w:cs="Times New Roman"/>
        </w:rPr>
        <w:t xml:space="preserve">life of individuals, it is also critical for the survival of societies, economies, and cultures. </w:t>
      </w:r>
    </w:p>
    <w:p w:rsidR="00C37693" w:rsidRPr="00FD0B79" w:rsidRDefault="00C37693" w:rsidP="000D325C">
      <w:pPr>
        <w:spacing w:line="240" w:lineRule="auto"/>
        <w:rPr>
          <w:rFonts w:cs="Times New Roman"/>
        </w:rPr>
      </w:pPr>
    </w:p>
    <w:p w:rsidR="00C37693" w:rsidRPr="00FD0B79" w:rsidRDefault="00C37693" w:rsidP="007450E6">
      <w:pPr>
        <w:rPr>
          <w:rFonts w:cs="Times New Roman"/>
        </w:rPr>
      </w:pPr>
      <w:r w:rsidRPr="00FD0B79">
        <w:rPr>
          <w:rFonts w:cs="Times New Roman"/>
        </w:rPr>
        <w:t xml:space="preserve">Conflict over water is not a new in human history. A </w:t>
      </w:r>
      <w:r w:rsidR="00C23168">
        <w:rPr>
          <w:rFonts w:cs="Times New Roman"/>
        </w:rPr>
        <w:t>‘</w:t>
      </w:r>
      <w:r w:rsidRPr="00FD0B79">
        <w:rPr>
          <w:rFonts w:cs="Times New Roman"/>
        </w:rPr>
        <w:t>Water Conflicts Chronology</w:t>
      </w:r>
      <w:r w:rsidR="00C23168">
        <w:rPr>
          <w:rFonts w:cs="Times New Roman"/>
        </w:rPr>
        <w:t>’</w:t>
      </w:r>
      <w:r w:rsidRPr="00FD0B79">
        <w:rPr>
          <w:rFonts w:cs="Times New Roman"/>
        </w:rPr>
        <w:t xml:space="preserve"> developed by the Pacific Institute refers to conflict over water five thousand years ago, in the ancient Sum</w:t>
      </w:r>
      <w:r w:rsidR="003D3981">
        <w:rPr>
          <w:rFonts w:cs="Times New Roman"/>
        </w:rPr>
        <w:t>e</w:t>
      </w:r>
      <w:r w:rsidRPr="00FD0B79">
        <w:rPr>
          <w:rFonts w:cs="Times New Roman"/>
        </w:rPr>
        <w:t>rian community.</w:t>
      </w:r>
      <w:r w:rsidR="00E34236" w:rsidRPr="00FD0B79">
        <w:rPr>
          <w:rStyle w:val="FootnoteReference"/>
          <w:rFonts w:ascii="Times New Roman" w:hAnsi="Times New Roman" w:cs="Times New Roman"/>
        </w:rPr>
        <w:footnoteReference w:id="30"/>
      </w:r>
      <w:r w:rsidRPr="00FD0B79">
        <w:rPr>
          <w:rFonts w:cs="Times New Roman"/>
        </w:rPr>
        <w:t xml:space="preserve"> In history, conflicts over water, including the destruction of water resources, have been used as a military tool in times of war, as a political tool of territorial and other control, or in developmental disputes. The potential of conflict over water arises not least from the fact that water resources are often shared between two or more countries. Levy and </w:t>
      </w:r>
      <w:proofErr w:type="spellStart"/>
      <w:r w:rsidRPr="00FD0B79">
        <w:rPr>
          <w:rFonts w:cs="Times New Roman"/>
        </w:rPr>
        <w:t>Sindel</w:t>
      </w:r>
      <w:proofErr w:type="spellEnd"/>
      <w:r w:rsidRPr="00FD0B79">
        <w:rPr>
          <w:rFonts w:cs="Times New Roman"/>
        </w:rPr>
        <w:t xml:space="preserve"> report that two</w:t>
      </w:r>
      <w:r w:rsidR="003D3981">
        <w:rPr>
          <w:rFonts w:cs="Times New Roman"/>
        </w:rPr>
        <w:t>-</w:t>
      </w:r>
      <w:r w:rsidRPr="00FD0B79">
        <w:rPr>
          <w:rFonts w:cs="Times New Roman"/>
        </w:rPr>
        <w:t xml:space="preserve">fifths of water flowing in all rivers </w:t>
      </w:r>
      <w:r w:rsidR="003D3981">
        <w:rPr>
          <w:rFonts w:cs="Times New Roman"/>
        </w:rPr>
        <w:t>is</w:t>
      </w:r>
      <w:r w:rsidRPr="00FD0B79">
        <w:rPr>
          <w:rFonts w:cs="Times New Roman"/>
        </w:rPr>
        <w:t xml:space="preserve"> divided by two or more countries and </w:t>
      </w:r>
      <w:r w:rsidRPr="00FD0B79">
        <w:rPr>
          <w:rFonts w:cs="Times New Roman"/>
        </w:rPr>
        <w:lastRenderedPageBreak/>
        <w:t>that 20% of the world population live in these countries.</w:t>
      </w:r>
      <w:r w:rsidR="00E34236" w:rsidRPr="00FD0B79">
        <w:rPr>
          <w:rStyle w:val="FootnoteReference"/>
          <w:rFonts w:ascii="Times New Roman" w:hAnsi="Times New Roman" w:cs="Times New Roman"/>
        </w:rPr>
        <w:footnoteReference w:id="31"/>
      </w:r>
      <w:r w:rsidRPr="00FD0B79">
        <w:rPr>
          <w:rFonts w:cs="Times New Roman"/>
        </w:rPr>
        <w:t xml:space="preserve"> Populous countries like India, Pakistan and South East Asian countries, as well as countries along the Nile River</w:t>
      </w:r>
      <w:r w:rsidR="003D3981">
        <w:rPr>
          <w:rFonts w:cs="Times New Roman"/>
        </w:rPr>
        <w:t>,</w:t>
      </w:r>
      <w:r w:rsidRPr="00FD0B79">
        <w:rPr>
          <w:rFonts w:cs="Times New Roman"/>
        </w:rPr>
        <w:t xml:space="preserve"> belong to this category. Levy and </w:t>
      </w:r>
      <w:proofErr w:type="spellStart"/>
      <w:r w:rsidRPr="00FD0B79">
        <w:rPr>
          <w:rFonts w:cs="Times New Roman"/>
        </w:rPr>
        <w:t>Sindel</w:t>
      </w:r>
      <w:proofErr w:type="spellEnd"/>
      <w:r w:rsidRPr="00FD0B79">
        <w:rPr>
          <w:rFonts w:cs="Times New Roman"/>
        </w:rPr>
        <w:t xml:space="preserve"> also observe that between 1990 and 2007 there were 81 violent internal or international conflicts over water resources, lasting on an average of 4.6 years, a number unmatched by any other similar sequence of years in the 20th century.</w:t>
      </w:r>
      <w:r w:rsidR="00E34236" w:rsidRPr="00FD0B79">
        <w:rPr>
          <w:rStyle w:val="FootnoteReference"/>
          <w:rFonts w:ascii="Times New Roman" w:hAnsi="Times New Roman" w:cs="Times New Roman"/>
        </w:rPr>
        <w:footnoteReference w:id="32"/>
      </w:r>
      <w:r w:rsidRPr="00FD0B79">
        <w:rPr>
          <w:rFonts w:cs="Times New Roman"/>
        </w:rPr>
        <w:t xml:space="preserve"> Conflict over water resources may also be caused by low rainfall, high population growth, rapid urbanization and industrialization. The overheated nature of contemporary globalization </w:t>
      </w:r>
      <w:r w:rsidR="00FE40F1" w:rsidRPr="00FD0B79">
        <w:rPr>
          <w:rFonts w:cs="Times New Roman"/>
        </w:rPr>
        <w:t xml:space="preserve">compounds the </w:t>
      </w:r>
      <w:r w:rsidRPr="00FD0B79">
        <w:rPr>
          <w:rFonts w:cs="Times New Roman"/>
        </w:rPr>
        <w:t>problem</w:t>
      </w:r>
      <w:r w:rsidR="00FE40F1" w:rsidRPr="00FD0B79">
        <w:rPr>
          <w:rFonts w:cs="Times New Roman"/>
        </w:rPr>
        <w:t xml:space="preserve"> of the right to water</w:t>
      </w:r>
      <w:r w:rsidR="00E34236" w:rsidRPr="00FD0B79">
        <w:rPr>
          <w:rFonts w:cs="Times New Roman"/>
        </w:rPr>
        <w:t>.</w:t>
      </w:r>
      <w:r w:rsidRPr="00FD0B79">
        <w:rPr>
          <w:rFonts w:cs="Times New Roman"/>
        </w:rPr>
        <w:t xml:space="preserve"> Changes are taking place at a speed that outpaces societies’ capacity to govern and manage looming intra and inter-state conflicts. </w:t>
      </w:r>
      <w:r w:rsidR="0050736D">
        <w:rPr>
          <w:rFonts w:cs="Times New Roman"/>
        </w:rPr>
        <w:t>These, coupled with c</w:t>
      </w:r>
      <w:r w:rsidRPr="00FD0B79">
        <w:rPr>
          <w:rFonts w:cs="Times New Roman"/>
        </w:rPr>
        <w:t>limat</w:t>
      </w:r>
      <w:r w:rsidR="0050736D">
        <w:rPr>
          <w:rFonts w:cs="Times New Roman"/>
        </w:rPr>
        <w:t>ic</w:t>
      </w:r>
      <w:r w:rsidRPr="00FD0B79">
        <w:rPr>
          <w:rFonts w:cs="Times New Roman"/>
        </w:rPr>
        <w:t xml:space="preserve"> changes are</w:t>
      </w:r>
      <w:r w:rsidR="0050736D">
        <w:rPr>
          <w:rFonts w:cs="Times New Roman"/>
        </w:rPr>
        <w:t xml:space="preserve"> some of the agents </w:t>
      </w:r>
      <w:r w:rsidRPr="00FD0B79">
        <w:rPr>
          <w:rFonts w:cs="Times New Roman"/>
        </w:rPr>
        <w:t>leading to insecur</w:t>
      </w:r>
      <w:r w:rsidR="0050736D">
        <w:rPr>
          <w:rFonts w:cs="Times New Roman"/>
        </w:rPr>
        <w:t xml:space="preserve">ity associated with </w:t>
      </w:r>
      <w:r w:rsidRPr="00FD0B79">
        <w:rPr>
          <w:rFonts w:cs="Times New Roman"/>
        </w:rPr>
        <w:t>access to water in times of drought and flooding.</w:t>
      </w:r>
    </w:p>
    <w:p w:rsidR="00C37693" w:rsidRPr="00FD0B79" w:rsidRDefault="00C37693" w:rsidP="00FE40F1">
      <w:pPr>
        <w:spacing w:line="240" w:lineRule="auto"/>
        <w:rPr>
          <w:rFonts w:cs="Times New Roman"/>
        </w:rPr>
      </w:pPr>
    </w:p>
    <w:p w:rsidR="00C37693" w:rsidRPr="00FD0B79" w:rsidRDefault="00C37693" w:rsidP="007450E6">
      <w:pPr>
        <w:rPr>
          <w:rFonts w:cs="Times New Roman"/>
        </w:rPr>
      </w:pPr>
      <w:r w:rsidRPr="00FD0B79">
        <w:rPr>
          <w:rFonts w:cs="Times New Roman"/>
        </w:rPr>
        <w:t xml:space="preserve">Water conflicts undermining internal peace, or regional peace between countries represent contextual and material factors that threaten people’s right to water. </w:t>
      </w:r>
      <w:r w:rsidR="0050736D">
        <w:rPr>
          <w:rFonts w:cs="Times New Roman"/>
        </w:rPr>
        <w:t>W</w:t>
      </w:r>
      <w:r w:rsidR="00E34236" w:rsidRPr="00FD0B79">
        <w:rPr>
          <w:rFonts w:cs="Times New Roman"/>
        </w:rPr>
        <w:t>ater as a security</w:t>
      </w:r>
      <w:r w:rsidR="00FE40F1" w:rsidRPr="00FD0B79">
        <w:rPr>
          <w:rFonts w:cs="Times New Roman"/>
        </w:rPr>
        <w:t xml:space="preserve"> and human rights issue</w:t>
      </w:r>
      <w:r w:rsidRPr="00FD0B79">
        <w:rPr>
          <w:rFonts w:cs="Times New Roman"/>
        </w:rPr>
        <w:t xml:space="preserve"> is slowly being acknowledged, but the means and capacities to resolve local, national and</w:t>
      </w:r>
      <w:r w:rsidR="0050736D">
        <w:rPr>
          <w:rFonts w:cs="Times New Roman"/>
        </w:rPr>
        <w:t xml:space="preserve"> even</w:t>
      </w:r>
      <w:r w:rsidRPr="00FD0B79">
        <w:rPr>
          <w:rFonts w:cs="Times New Roman"/>
        </w:rPr>
        <w:t xml:space="preserve"> international conflicts </w:t>
      </w:r>
      <w:r w:rsidR="003D3981">
        <w:rPr>
          <w:rFonts w:cs="Times New Roman"/>
        </w:rPr>
        <w:t>are</w:t>
      </w:r>
      <w:r w:rsidR="00FE40F1" w:rsidRPr="00FD0B79">
        <w:rPr>
          <w:rFonts w:cs="Times New Roman"/>
        </w:rPr>
        <w:t xml:space="preserve"> a</w:t>
      </w:r>
      <w:r w:rsidRPr="00FD0B79">
        <w:rPr>
          <w:rFonts w:cs="Times New Roman"/>
        </w:rPr>
        <w:t xml:space="preserve"> matter of concern. The former UN General Secretary Boutros </w:t>
      </w:r>
      <w:r w:rsidR="000360A4" w:rsidRPr="00FD0B79">
        <w:rPr>
          <w:rFonts w:cs="Times New Roman"/>
        </w:rPr>
        <w:t>Boutros-</w:t>
      </w:r>
      <w:r w:rsidRPr="00FD0B79">
        <w:rPr>
          <w:rFonts w:cs="Times New Roman"/>
        </w:rPr>
        <w:t xml:space="preserve">Ghali is quoted as saying in 1985 that </w:t>
      </w:r>
      <w:r w:rsidR="0050736D">
        <w:rPr>
          <w:rFonts w:cs="Times New Roman"/>
        </w:rPr>
        <w:t>‘T</w:t>
      </w:r>
      <w:r w:rsidRPr="00FD0B79">
        <w:rPr>
          <w:rFonts w:cs="Times New Roman"/>
        </w:rPr>
        <w:t>he next war in the Middle East will be fought over water, not</w:t>
      </w:r>
      <w:r w:rsidR="00FE40F1" w:rsidRPr="00FD0B79">
        <w:rPr>
          <w:rFonts w:cs="Times New Roman"/>
        </w:rPr>
        <w:t xml:space="preserve"> politics.</w:t>
      </w:r>
      <w:r w:rsidR="0050736D">
        <w:rPr>
          <w:rFonts w:cs="Times New Roman"/>
        </w:rPr>
        <w:t>’</w:t>
      </w:r>
      <w:r w:rsidR="00FE40F1" w:rsidRPr="00FD0B79">
        <w:rPr>
          <w:rStyle w:val="FootnoteReference"/>
          <w:rFonts w:ascii="Times New Roman" w:hAnsi="Times New Roman" w:cs="Times New Roman"/>
        </w:rPr>
        <w:footnoteReference w:id="33"/>
      </w:r>
      <w:r w:rsidR="00FE40F1" w:rsidRPr="00FD0B79">
        <w:rPr>
          <w:rFonts w:cs="Times New Roman"/>
        </w:rPr>
        <w:t xml:space="preserve"> </w:t>
      </w:r>
      <w:r w:rsidRPr="00FD0B79">
        <w:rPr>
          <w:rFonts w:cs="Times New Roman"/>
        </w:rPr>
        <w:t xml:space="preserve"> He was not fully right in this prediction, but the danger still loom</w:t>
      </w:r>
      <w:r w:rsidR="00FE40F1" w:rsidRPr="00FD0B79">
        <w:rPr>
          <w:rFonts w:cs="Times New Roman"/>
        </w:rPr>
        <w:t>s</w:t>
      </w:r>
      <w:r w:rsidRPr="00FD0B79">
        <w:rPr>
          <w:rFonts w:cs="Times New Roman"/>
        </w:rPr>
        <w:t xml:space="preserve"> as a possibility. Others have pointed out </w:t>
      </w:r>
      <w:r w:rsidR="0050736D">
        <w:rPr>
          <w:rFonts w:cs="Times New Roman"/>
        </w:rPr>
        <w:t xml:space="preserve">at </w:t>
      </w:r>
      <w:r w:rsidRPr="00FD0B79">
        <w:rPr>
          <w:rFonts w:cs="Times New Roman"/>
        </w:rPr>
        <w:t xml:space="preserve">the </w:t>
      </w:r>
      <w:r w:rsidR="00FE40F1" w:rsidRPr="00FD0B79">
        <w:rPr>
          <w:rFonts w:cs="Times New Roman"/>
        </w:rPr>
        <w:t>‘</w:t>
      </w:r>
      <w:r w:rsidRPr="00FD0B79">
        <w:rPr>
          <w:rFonts w:cs="Times New Roman"/>
        </w:rPr>
        <w:t>water nature</w:t>
      </w:r>
      <w:r w:rsidR="00FE40F1" w:rsidRPr="00FD0B79">
        <w:rPr>
          <w:rFonts w:cs="Times New Roman"/>
        </w:rPr>
        <w:t>’</w:t>
      </w:r>
      <w:r w:rsidRPr="00FD0B79">
        <w:rPr>
          <w:rFonts w:cs="Times New Roman"/>
        </w:rPr>
        <w:t xml:space="preserve"> of the wars in Iraq and Syria. While ongoing wars, and regime instability, often are framed </w:t>
      </w:r>
      <w:r w:rsidR="0050736D">
        <w:rPr>
          <w:rFonts w:cs="Times New Roman"/>
        </w:rPr>
        <w:t>in</w:t>
      </w:r>
      <w:r w:rsidRPr="00FD0B79">
        <w:rPr>
          <w:rFonts w:cs="Times New Roman"/>
        </w:rPr>
        <w:t xml:space="preserve"> religious terms, </w:t>
      </w:r>
      <w:r w:rsidR="0050736D">
        <w:rPr>
          <w:rFonts w:cs="Times New Roman"/>
        </w:rPr>
        <w:t>‘</w:t>
      </w:r>
      <w:r w:rsidRPr="00FD0B79">
        <w:rPr>
          <w:rFonts w:cs="Times New Roman"/>
        </w:rPr>
        <w:t>there lies a battle for the water supplies that sustain these deserted nations</w:t>
      </w:r>
      <w:r w:rsidR="00FE40F1" w:rsidRPr="00FD0B79">
        <w:rPr>
          <w:rFonts w:cs="Times New Roman"/>
        </w:rPr>
        <w:t>.</w:t>
      </w:r>
      <w:r w:rsidR="0050736D">
        <w:rPr>
          <w:rFonts w:cs="Times New Roman"/>
        </w:rPr>
        <w:t>’</w:t>
      </w:r>
      <w:r w:rsidR="00FE40F1" w:rsidRPr="00FD0B79">
        <w:rPr>
          <w:rStyle w:val="FootnoteReference"/>
          <w:rFonts w:ascii="Times New Roman" w:hAnsi="Times New Roman" w:cs="Times New Roman"/>
        </w:rPr>
        <w:footnoteReference w:id="34"/>
      </w:r>
      <w:r w:rsidRPr="00FD0B79">
        <w:rPr>
          <w:rFonts w:cs="Times New Roman"/>
        </w:rPr>
        <w:t xml:space="preserve"> According to Pearce</w:t>
      </w:r>
      <w:r w:rsidR="0050736D">
        <w:rPr>
          <w:rFonts w:cs="Times New Roman"/>
        </w:rPr>
        <w:t xml:space="preserve"> (2014)</w:t>
      </w:r>
      <w:r w:rsidRPr="00FD0B79">
        <w:rPr>
          <w:rFonts w:cs="Times New Roman"/>
        </w:rPr>
        <w:t xml:space="preserve">, referring </w:t>
      </w:r>
      <w:r w:rsidR="003D3981">
        <w:rPr>
          <w:rFonts w:cs="Times New Roman"/>
        </w:rPr>
        <w:t xml:space="preserve">to </w:t>
      </w:r>
      <w:r w:rsidRPr="00FD0B79">
        <w:rPr>
          <w:rFonts w:cs="Times New Roman"/>
        </w:rPr>
        <w:t xml:space="preserve">the Islamic State’s warfare in the </w:t>
      </w:r>
      <w:proofErr w:type="spellStart"/>
      <w:r w:rsidRPr="00FD0B79">
        <w:rPr>
          <w:rFonts w:cs="Times New Roman"/>
        </w:rPr>
        <w:t>2010s</w:t>
      </w:r>
      <w:proofErr w:type="spellEnd"/>
      <w:r w:rsidRPr="00FD0B79">
        <w:rPr>
          <w:rFonts w:cs="Times New Roman"/>
        </w:rPr>
        <w:t xml:space="preserve">, </w:t>
      </w:r>
      <w:r w:rsidR="0050736D">
        <w:rPr>
          <w:rFonts w:cs="Times New Roman"/>
        </w:rPr>
        <w:t>‘</w:t>
      </w:r>
      <w:r w:rsidRPr="00FD0B79">
        <w:rPr>
          <w:rFonts w:cs="Times New Roman"/>
        </w:rPr>
        <w:t>(t</w:t>
      </w:r>
      <w:proofErr w:type="gramStart"/>
      <w:r w:rsidRPr="00FD0B79">
        <w:rPr>
          <w:rFonts w:cs="Times New Roman"/>
        </w:rPr>
        <w:t>)here</w:t>
      </w:r>
      <w:proofErr w:type="gramEnd"/>
      <w:r w:rsidRPr="00FD0B79">
        <w:rPr>
          <w:rFonts w:cs="Times New Roman"/>
        </w:rPr>
        <w:t xml:space="preserve"> is a water war going on in the Middle East </w:t>
      </w:r>
      <w:r w:rsidR="002A67BA" w:rsidRPr="00FD0B79">
        <w:rPr>
          <w:rFonts w:cs="Times New Roman"/>
        </w:rPr>
        <w:t>….</w:t>
      </w:r>
      <w:r w:rsidRPr="00FD0B79">
        <w:rPr>
          <w:rFonts w:cs="Times New Roman"/>
        </w:rPr>
        <w:t xml:space="preserve"> Behind the headline stories of brutal slaughter as Sunni militants carve out a religious state covering Iraq and Syria, there lies a battle for the water supplies that sustain these desert nations</w:t>
      </w:r>
      <w:r w:rsidR="002A67BA" w:rsidRPr="00FD0B79">
        <w:rPr>
          <w:rFonts w:cs="Times New Roman"/>
        </w:rPr>
        <w:t>.</w:t>
      </w:r>
      <w:r w:rsidR="0050736D">
        <w:rPr>
          <w:rFonts w:cs="Times New Roman"/>
        </w:rPr>
        <w:t>’</w:t>
      </w:r>
      <w:r w:rsidR="002A67BA" w:rsidRPr="00FD0B79">
        <w:rPr>
          <w:rStyle w:val="FootnoteReference"/>
          <w:rFonts w:ascii="Times New Roman" w:hAnsi="Times New Roman" w:cs="Times New Roman"/>
        </w:rPr>
        <w:footnoteReference w:id="35"/>
      </w:r>
      <w:r w:rsidRPr="00FD0B79">
        <w:rPr>
          <w:rFonts w:cs="Times New Roman"/>
        </w:rPr>
        <w:t xml:space="preserve"> It is evident that the politics surrounding water resources in areas of competition of </w:t>
      </w:r>
      <w:r w:rsidRPr="00FD0B79">
        <w:rPr>
          <w:rFonts w:cs="Times New Roman"/>
        </w:rPr>
        <w:lastRenderedPageBreak/>
        <w:t xml:space="preserve">water are conditioning people </w:t>
      </w:r>
      <w:r w:rsidR="003D3981">
        <w:rPr>
          <w:rFonts w:cs="Times New Roman"/>
        </w:rPr>
        <w:t xml:space="preserve">to </w:t>
      </w:r>
      <w:r w:rsidRPr="00FD0B79">
        <w:rPr>
          <w:rFonts w:cs="Times New Roman"/>
        </w:rPr>
        <w:t>access water, and hence secure this basic resource for human existence and survival of societies.</w:t>
      </w:r>
    </w:p>
    <w:p w:rsidR="00C37693" w:rsidRPr="00FD0B79" w:rsidRDefault="00C37693" w:rsidP="002A67BA">
      <w:pPr>
        <w:spacing w:line="240" w:lineRule="auto"/>
        <w:rPr>
          <w:rFonts w:cs="Times New Roman"/>
        </w:rPr>
      </w:pPr>
    </w:p>
    <w:p w:rsidR="00C37693" w:rsidRPr="00FD0B79" w:rsidRDefault="002A67BA" w:rsidP="00260700">
      <w:pPr>
        <w:pStyle w:val="Heading2"/>
      </w:pPr>
      <w:r w:rsidRPr="00FD0B79">
        <w:t xml:space="preserve">Conclusion and </w:t>
      </w:r>
      <w:r w:rsidR="007450E6" w:rsidRPr="00FD0B79">
        <w:t>Recommendations</w:t>
      </w:r>
    </w:p>
    <w:p w:rsidR="00C37693" w:rsidRPr="00FD0B79" w:rsidRDefault="00C37693" w:rsidP="007450E6">
      <w:pPr>
        <w:rPr>
          <w:rFonts w:cs="Times New Roman"/>
        </w:rPr>
      </w:pPr>
      <w:r w:rsidRPr="00FD0B79">
        <w:rPr>
          <w:rFonts w:cs="Times New Roman"/>
        </w:rPr>
        <w:t xml:space="preserve">Access to water for consumption and production within a defined scope is a basic human right. Human rights are normative standards and legal norms for ensuring </w:t>
      </w:r>
      <w:r w:rsidR="0050736D">
        <w:rPr>
          <w:rFonts w:cs="Times New Roman"/>
        </w:rPr>
        <w:t xml:space="preserve">that </w:t>
      </w:r>
      <w:r w:rsidRPr="00FD0B79">
        <w:rPr>
          <w:rFonts w:cs="Times New Roman"/>
        </w:rPr>
        <w:t>fundamental human interest</w:t>
      </w:r>
      <w:r w:rsidR="003D3981">
        <w:rPr>
          <w:rFonts w:cs="Times New Roman"/>
        </w:rPr>
        <w:t>s</w:t>
      </w:r>
      <w:r w:rsidR="00010C06" w:rsidRPr="00FD0B79">
        <w:rPr>
          <w:rFonts w:cs="Times New Roman"/>
        </w:rPr>
        <w:t xml:space="preserve"> are protected</w:t>
      </w:r>
      <w:r w:rsidRPr="00FD0B79">
        <w:rPr>
          <w:rFonts w:cs="Times New Roman"/>
        </w:rPr>
        <w:t xml:space="preserve">. Human rights are also social ethics that offer guidelines for governing human relations and the structuring of social and political order. Although not much </w:t>
      </w:r>
      <w:r w:rsidR="00010C06" w:rsidRPr="00FD0B79">
        <w:rPr>
          <w:rFonts w:cs="Times New Roman"/>
        </w:rPr>
        <w:t xml:space="preserve">is </w:t>
      </w:r>
      <w:r w:rsidRPr="00FD0B79">
        <w:rPr>
          <w:rFonts w:cs="Times New Roman"/>
        </w:rPr>
        <w:t xml:space="preserve">developed in positive law, nor in international relations, the right to water is a basic value and norm that requires more practical and operational attention. The right to water as a human right can help steer national and international policies, frame debates about fair distribution of water and map out the international community’s responsibility for such distribution. Yet, the normative power of the right to water is still far from secure in state compliance with human rights norms, or as norms of importance in guiding the regulation of international conflicts. </w:t>
      </w:r>
    </w:p>
    <w:p w:rsidR="00C37693" w:rsidRPr="00FD0B79" w:rsidRDefault="00C37693" w:rsidP="007450E6">
      <w:pPr>
        <w:rPr>
          <w:rFonts w:cs="Times New Roman"/>
        </w:rPr>
      </w:pPr>
    </w:p>
    <w:p w:rsidR="00C37693" w:rsidRPr="00FD0B79" w:rsidRDefault="00C37693" w:rsidP="007450E6">
      <w:pPr>
        <w:rPr>
          <w:rFonts w:cs="Times New Roman"/>
        </w:rPr>
      </w:pPr>
    </w:p>
    <w:p w:rsidR="00C37693" w:rsidRPr="00FD0B79" w:rsidRDefault="00C37693" w:rsidP="007450E6">
      <w:pPr>
        <w:rPr>
          <w:rFonts w:cs="Times New Roman"/>
        </w:rPr>
      </w:pPr>
    </w:p>
    <w:p w:rsidR="00C37693" w:rsidRPr="00FD0B79" w:rsidRDefault="00C37693" w:rsidP="007450E6">
      <w:pPr>
        <w:rPr>
          <w:rFonts w:cs="Times New Roman"/>
        </w:rPr>
      </w:pPr>
    </w:p>
    <w:p w:rsidR="00C37693" w:rsidRPr="00FD0B79" w:rsidRDefault="00C37693" w:rsidP="007450E6">
      <w:pPr>
        <w:rPr>
          <w:rFonts w:cs="Times New Roman"/>
        </w:rPr>
      </w:pPr>
      <w:r w:rsidRPr="00FD0B79">
        <w:rPr>
          <w:rFonts w:cs="Times New Roman"/>
        </w:rPr>
        <w:br w:type="page"/>
      </w:r>
    </w:p>
    <w:p w:rsidR="00C37693" w:rsidRPr="00FD0B79" w:rsidRDefault="0050736D" w:rsidP="00260700">
      <w:pPr>
        <w:pStyle w:val="Heading2"/>
      </w:pPr>
      <w:r>
        <w:lastRenderedPageBreak/>
        <w:t>References</w:t>
      </w:r>
    </w:p>
    <w:p w:rsidR="00B465D6" w:rsidRPr="00FD0B79" w:rsidRDefault="00B465D6" w:rsidP="00B465D6">
      <w:pPr>
        <w:spacing w:line="240" w:lineRule="auto"/>
        <w:rPr>
          <w:rFonts w:cs="Times New Roman"/>
        </w:rPr>
      </w:pPr>
      <w:r>
        <w:rPr>
          <w:rFonts w:cs="Times New Roman"/>
        </w:rPr>
        <w:t xml:space="preserve">AU. </w:t>
      </w:r>
      <w:r w:rsidRPr="00FD0B79">
        <w:rPr>
          <w:rFonts w:cs="Times New Roman"/>
        </w:rPr>
        <w:t>Protocol to the African Charter on Human and People’s Rights on the Rights of Women in Africa (adopted by the African Union on 11 July 2013)</w:t>
      </w:r>
    </w:p>
    <w:p w:rsidR="00B465D6" w:rsidRDefault="00B465D6" w:rsidP="007450E6">
      <w:pPr>
        <w:spacing w:line="240" w:lineRule="auto"/>
        <w:rPr>
          <w:rFonts w:cs="Times New Roman"/>
        </w:rPr>
      </w:pPr>
    </w:p>
    <w:p w:rsidR="00C37693" w:rsidRPr="00FD0B79" w:rsidRDefault="00C37693" w:rsidP="007450E6">
      <w:pPr>
        <w:spacing w:line="240" w:lineRule="auto"/>
        <w:rPr>
          <w:rFonts w:cs="Times New Roman"/>
        </w:rPr>
      </w:pPr>
      <w:proofErr w:type="spellStart"/>
      <w:r w:rsidRPr="00FD0B79">
        <w:rPr>
          <w:rFonts w:cs="Times New Roman"/>
        </w:rPr>
        <w:t>Hellum</w:t>
      </w:r>
      <w:proofErr w:type="spellEnd"/>
      <w:r w:rsidRPr="00FD0B79">
        <w:rPr>
          <w:rFonts w:cs="Times New Roman"/>
        </w:rPr>
        <w:t xml:space="preserve">, Anne, Patricia </w:t>
      </w:r>
      <w:proofErr w:type="spellStart"/>
      <w:r w:rsidRPr="00FD0B79">
        <w:rPr>
          <w:rFonts w:cs="Times New Roman"/>
        </w:rPr>
        <w:t>Kameri-Mbote</w:t>
      </w:r>
      <w:proofErr w:type="spellEnd"/>
      <w:r w:rsidRPr="00FD0B79">
        <w:rPr>
          <w:rFonts w:cs="Times New Roman"/>
        </w:rPr>
        <w:t xml:space="preserve"> and Barbara von </w:t>
      </w:r>
      <w:proofErr w:type="spellStart"/>
      <w:r w:rsidRPr="00FD0B79">
        <w:rPr>
          <w:rFonts w:cs="Times New Roman"/>
        </w:rPr>
        <w:t>Koppen</w:t>
      </w:r>
      <w:proofErr w:type="spellEnd"/>
      <w:r w:rsidRPr="00FD0B79">
        <w:rPr>
          <w:rFonts w:cs="Times New Roman"/>
        </w:rPr>
        <w:t xml:space="preserve"> eds</w:t>
      </w:r>
      <w:r w:rsidR="00050541">
        <w:rPr>
          <w:rFonts w:cs="Times New Roman"/>
        </w:rPr>
        <w:t>.</w:t>
      </w:r>
      <w:r w:rsidR="00260700">
        <w:rPr>
          <w:rFonts w:cs="Times New Roman"/>
        </w:rPr>
        <w:t>, 2015</w:t>
      </w:r>
      <w:r w:rsidRPr="00FD0B79">
        <w:rPr>
          <w:rFonts w:cs="Times New Roman"/>
        </w:rPr>
        <w:t xml:space="preserve">. </w:t>
      </w:r>
      <w:r w:rsidRPr="00786974">
        <w:rPr>
          <w:rFonts w:cs="Times New Roman"/>
          <w:i/>
        </w:rPr>
        <w:t xml:space="preserve">Water </w:t>
      </w:r>
      <w:r w:rsidR="00050541" w:rsidRPr="00786974">
        <w:rPr>
          <w:rFonts w:cs="Times New Roman"/>
          <w:i/>
        </w:rPr>
        <w:t xml:space="preserve">Is </w:t>
      </w:r>
      <w:r w:rsidRPr="00786974">
        <w:rPr>
          <w:rFonts w:cs="Times New Roman"/>
          <w:i/>
        </w:rPr>
        <w:t>Life</w:t>
      </w:r>
      <w:r w:rsidR="00050541" w:rsidRPr="00786974">
        <w:rPr>
          <w:rFonts w:cs="Times New Roman"/>
          <w:i/>
        </w:rPr>
        <w:t xml:space="preserve">. </w:t>
      </w:r>
      <w:r w:rsidRPr="00786974">
        <w:rPr>
          <w:rFonts w:cs="Times New Roman"/>
          <w:i/>
        </w:rPr>
        <w:t xml:space="preserve">Women’s </w:t>
      </w:r>
      <w:r w:rsidR="00050541" w:rsidRPr="00786974">
        <w:rPr>
          <w:rFonts w:cs="Times New Roman"/>
          <w:i/>
        </w:rPr>
        <w:t xml:space="preserve">Human Rights in National and Local Water Governance in Southern and </w:t>
      </w:r>
      <w:r w:rsidRPr="00786974">
        <w:rPr>
          <w:rFonts w:cs="Times New Roman"/>
          <w:i/>
        </w:rPr>
        <w:t>Eastern Africa</w:t>
      </w:r>
      <w:r w:rsidRPr="00FD0B79">
        <w:rPr>
          <w:rFonts w:cs="Times New Roman"/>
        </w:rPr>
        <w:t>. Harare: Weaver Press.</w:t>
      </w:r>
    </w:p>
    <w:p w:rsidR="00C37693" w:rsidRPr="00FD0B79" w:rsidRDefault="00C37693" w:rsidP="007450E6">
      <w:pPr>
        <w:spacing w:line="240" w:lineRule="auto"/>
        <w:rPr>
          <w:rFonts w:cs="Times New Roman"/>
        </w:rPr>
      </w:pPr>
    </w:p>
    <w:p w:rsidR="00050541" w:rsidRPr="00FD0B79" w:rsidRDefault="00C37693" w:rsidP="00050541">
      <w:pPr>
        <w:spacing w:line="240" w:lineRule="auto"/>
        <w:rPr>
          <w:rFonts w:cs="Times New Roman"/>
        </w:rPr>
      </w:pPr>
      <w:proofErr w:type="spellStart"/>
      <w:r w:rsidRPr="00FD0B79">
        <w:rPr>
          <w:rFonts w:cs="Times New Roman"/>
        </w:rPr>
        <w:t>Hellum</w:t>
      </w:r>
      <w:proofErr w:type="spellEnd"/>
      <w:r w:rsidRPr="00FD0B79">
        <w:rPr>
          <w:rFonts w:cs="Times New Roman"/>
        </w:rPr>
        <w:t xml:space="preserve">, Anne, </w:t>
      </w:r>
      <w:proofErr w:type="spellStart"/>
      <w:r w:rsidRPr="00FD0B79">
        <w:rPr>
          <w:rFonts w:cs="Times New Roman"/>
        </w:rPr>
        <w:t>Ingunn</w:t>
      </w:r>
      <w:proofErr w:type="spellEnd"/>
      <w:r w:rsidRPr="00FD0B79">
        <w:rPr>
          <w:rFonts w:cs="Times New Roman"/>
        </w:rPr>
        <w:t xml:space="preserve"> </w:t>
      </w:r>
      <w:proofErr w:type="spellStart"/>
      <w:r w:rsidRPr="00FD0B79">
        <w:rPr>
          <w:rFonts w:cs="Times New Roman"/>
        </w:rPr>
        <w:t>Ikdahl</w:t>
      </w:r>
      <w:proofErr w:type="spellEnd"/>
      <w:r w:rsidRPr="00FD0B79">
        <w:rPr>
          <w:rFonts w:cs="Times New Roman"/>
        </w:rPr>
        <w:t xml:space="preserve"> and </w:t>
      </w:r>
      <w:proofErr w:type="spellStart"/>
      <w:r w:rsidRPr="00FD0B79">
        <w:rPr>
          <w:rFonts w:cs="Times New Roman"/>
        </w:rPr>
        <w:t>Kameri-Mbote</w:t>
      </w:r>
      <w:proofErr w:type="spellEnd"/>
      <w:r w:rsidR="00260700">
        <w:rPr>
          <w:rFonts w:cs="Times New Roman"/>
        </w:rPr>
        <w:t>, 2015</w:t>
      </w:r>
      <w:r w:rsidRPr="00FD0B79">
        <w:rPr>
          <w:rFonts w:cs="Times New Roman"/>
        </w:rPr>
        <w:t xml:space="preserve">. </w:t>
      </w:r>
      <w:r w:rsidR="00567914">
        <w:rPr>
          <w:rFonts w:cs="Times New Roman"/>
        </w:rPr>
        <w:t>‘</w:t>
      </w:r>
      <w:r w:rsidRPr="00FD0B79">
        <w:rPr>
          <w:rFonts w:cs="Times New Roman"/>
        </w:rPr>
        <w:t>Turning the Tide: Engendering the Human Right to water and Sanitation</w:t>
      </w:r>
      <w:r w:rsidR="00260700">
        <w:rPr>
          <w:rFonts w:cs="Times New Roman"/>
        </w:rPr>
        <w:t>.</w:t>
      </w:r>
      <w:r w:rsidR="00567914">
        <w:rPr>
          <w:rFonts w:cs="Times New Roman"/>
        </w:rPr>
        <w:t>’</w:t>
      </w:r>
      <w:r w:rsidR="00260700">
        <w:rPr>
          <w:rFonts w:cs="Times New Roman"/>
        </w:rPr>
        <w:t xml:space="preserve"> I</w:t>
      </w:r>
      <w:r w:rsidR="00640446">
        <w:rPr>
          <w:rFonts w:cs="Times New Roman"/>
        </w:rPr>
        <w:t xml:space="preserve">n </w:t>
      </w:r>
      <w:proofErr w:type="spellStart"/>
      <w:r w:rsidR="00640446">
        <w:rPr>
          <w:rFonts w:cs="Times New Roman"/>
        </w:rPr>
        <w:t>Hellum</w:t>
      </w:r>
      <w:proofErr w:type="spellEnd"/>
      <w:r w:rsidR="00640446">
        <w:rPr>
          <w:rFonts w:cs="Times New Roman"/>
        </w:rPr>
        <w:t xml:space="preserve"> </w:t>
      </w:r>
      <w:r w:rsidR="00640446" w:rsidRPr="00640446">
        <w:rPr>
          <w:rFonts w:cs="Times New Roman"/>
          <w:i/>
        </w:rPr>
        <w:t>et al</w:t>
      </w:r>
      <w:r w:rsidR="00640446">
        <w:rPr>
          <w:rFonts w:cs="Times New Roman"/>
        </w:rPr>
        <w:t>.</w:t>
      </w:r>
      <w:r w:rsidR="00050541" w:rsidRPr="00050541">
        <w:rPr>
          <w:rFonts w:cs="Times New Roman"/>
        </w:rPr>
        <w:t xml:space="preserve"> </w:t>
      </w:r>
      <w:r w:rsidR="00050541" w:rsidRPr="00786974">
        <w:rPr>
          <w:rFonts w:cs="Times New Roman"/>
          <w:i/>
        </w:rPr>
        <w:t>Water Is Life. Women’s Human Rights in National and Local Water Governance in Southern and Eastern Africa.</w:t>
      </w:r>
      <w:r w:rsidR="00050541" w:rsidRPr="00FD0B79">
        <w:rPr>
          <w:rFonts w:cs="Times New Roman"/>
        </w:rPr>
        <w:t xml:space="preserve"> Harare: Weaver Press.</w:t>
      </w:r>
    </w:p>
    <w:p w:rsidR="00050541" w:rsidRPr="00FD0B79" w:rsidRDefault="00050541" w:rsidP="00050541">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 xml:space="preserve">Levy, Barry S and Victor W. </w:t>
      </w:r>
      <w:proofErr w:type="spellStart"/>
      <w:r w:rsidRPr="00FD0B79">
        <w:rPr>
          <w:rFonts w:cs="Times New Roman"/>
        </w:rPr>
        <w:t>Sidel</w:t>
      </w:r>
      <w:proofErr w:type="spellEnd"/>
      <w:r w:rsidRPr="00FD0B79">
        <w:rPr>
          <w:rFonts w:cs="Times New Roman"/>
        </w:rPr>
        <w:t xml:space="preserve">, </w:t>
      </w:r>
      <w:r w:rsidR="00640446">
        <w:rPr>
          <w:rFonts w:cs="Times New Roman"/>
        </w:rPr>
        <w:t xml:space="preserve">2011. </w:t>
      </w:r>
      <w:r w:rsidR="00567914">
        <w:rPr>
          <w:rFonts w:cs="Times New Roman"/>
        </w:rPr>
        <w:t>‘</w:t>
      </w:r>
      <w:r w:rsidRPr="00FD0B79">
        <w:rPr>
          <w:rFonts w:cs="Times New Roman"/>
        </w:rPr>
        <w:t>Water Rights and Water Fights: Preventing and Resolving Conflicts Before They Boil Over</w:t>
      </w:r>
      <w:r w:rsidR="00640446">
        <w:rPr>
          <w:rFonts w:cs="Times New Roman"/>
        </w:rPr>
        <w:t>.’ I</w:t>
      </w:r>
      <w:r w:rsidRPr="00FD0B79">
        <w:rPr>
          <w:rFonts w:cs="Times New Roman"/>
        </w:rPr>
        <w:t xml:space="preserve">n </w:t>
      </w:r>
      <w:r w:rsidRPr="00640446">
        <w:rPr>
          <w:rFonts w:cs="Times New Roman"/>
          <w:i/>
        </w:rPr>
        <w:t>Am</w:t>
      </w:r>
      <w:r w:rsidR="00640446" w:rsidRPr="00640446">
        <w:rPr>
          <w:rFonts w:cs="Times New Roman"/>
          <w:i/>
        </w:rPr>
        <w:t>erican</w:t>
      </w:r>
      <w:r w:rsidRPr="00640446">
        <w:rPr>
          <w:rFonts w:cs="Times New Roman"/>
          <w:i/>
        </w:rPr>
        <w:t xml:space="preserve"> J</w:t>
      </w:r>
      <w:r w:rsidR="00640446" w:rsidRPr="00640446">
        <w:rPr>
          <w:rFonts w:cs="Times New Roman"/>
          <w:i/>
        </w:rPr>
        <w:t xml:space="preserve">ournal of </w:t>
      </w:r>
      <w:r w:rsidR="00640446">
        <w:rPr>
          <w:rFonts w:cs="Times New Roman"/>
          <w:i/>
        </w:rPr>
        <w:t xml:space="preserve">Public Health. </w:t>
      </w:r>
      <w:r w:rsidRPr="00FD0B79">
        <w:rPr>
          <w:rFonts w:cs="Times New Roman"/>
        </w:rPr>
        <w:t>2011 May, 1010(5): 778-780.</w:t>
      </w:r>
    </w:p>
    <w:p w:rsidR="00C37693" w:rsidRPr="00FD0B79" w:rsidRDefault="00C37693" w:rsidP="007450E6">
      <w:pPr>
        <w:spacing w:line="240" w:lineRule="auto"/>
        <w:rPr>
          <w:rFonts w:cs="Times New Roman"/>
        </w:rPr>
      </w:pPr>
    </w:p>
    <w:p w:rsidR="00C37693" w:rsidRDefault="00640446" w:rsidP="007450E6">
      <w:pPr>
        <w:spacing w:line="240" w:lineRule="auto"/>
        <w:rPr>
          <w:rFonts w:cs="Times New Roman"/>
        </w:rPr>
      </w:pPr>
      <w:r>
        <w:rPr>
          <w:rFonts w:cs="Times New Roman"/>
        </w:rPr>
        <w:t xml:space="preserve">Pearce, Fred, 2014. </w:t>
      </w:r>
      <w:r w:rsidR="00D5704C">
        <w:rPr>
          <w:rFonts w:cs="Times New Roman"/>
        </w:rPr>
        <w:t>‘</w:t>
      </w:r>
      <w:r w:rsidR="00C37693" w:rsidRPr="00FD0B79">
        <w:rPr>
          <w:rFonts w:cs="Times New Roman"/>
        </w:rPr>
        <w:t>Mideast Water Wars: In Iraq, a Battle for Control of Water</w:t>
      </w:r>
      <w:r>
        <w:rPr>
          <w:rFonts w:cs="Times New Roman"/>
        </w:rPr>
        <w:t>.</w:t>
      </w:r>
      <w:r w:rsidR="00D5704C">
        <w:rPr>
          <w:rFonts w:cs="Times New Roman"/>
        </w:rPr>
        <w:t>’</w:t>
      </w:r>
      <w:r>
        <w:rPr>
          <w:rFonts w:cs="Times New Roman"/>
        </w:rPr>
        <w:t xml:space="preserve"> I</w:t>
      </w:r>
      <w:r w:rsidR="00C37693" w:rsidRPr="00FD0B79">
        <w:rPr>
          <w:rFonts w:cs="Times New Roman"/>
        </w:rPr>
        <w:t xml:space="preserve">n </w:t>
      </w:r>
      <w:r w:rsidR="00C37693" w:rsidRPr="00640446">
        <w:rPr>
          <w:rFonts w:cs="Times New Roman"/>
          <w:i/>
        </w:rPr>
        <w:t>Yale Environment 360</w:t>
      </w:r>
      <w:r w:rsidR="00C37693" w:rsidRPr="00FD0B79">
        <w:rPr>
          <w:rFonts w:cs="Times New Roman"/>
        </w:rPr>
        <w:t>, 25 August 2014.</w:t>
      </w:r>
      <w:r>
        <w:rPr>
          <w:rFonts w:cs="Times New Roman"/>
        </w:rPr>
        <w:t xml:space="preserve"> </w:t>
      </w:r>
      <w:hyperlink r:id="rId9" w:history="1">
        <w:r w:rsidRPr="00E3761D">
          <w:rPr>
            <w:rStyle w:val="Hyperlink"/>
            <w:rFonts w:cs="Times New Roman"/>
          </w:rPr>
          <w:t>https://bit.ly/3pIZNDy</w:t>
        </w:r>
      </w:hyperlink>
    </w:p>
    <w:p w:rsidR="00C37693" w:rsidRPr="00FD0B79" w:rsidRDefault="00C37693" w:rsidP="007450E6">
      <w:pPr>
        <w:spacing w:line="240" w:lineRule="auto"/>
        <w:rPr>
          <w:rFonts w:cs="Times New Roman"/>
        </w:rPr>
      </w:pPr>
    </w:p>
    <w:p w:rsidR="00F56635" w:rsidRDefault="00640446" w:rsidP="007450E6">
      <w:pPr>
        <w:spacing w:line="240" w:lineRule="auto"/>
        <w:rPr>
          <w:rFonts w:cs="Times New Roman"/>
        </w:rPr>
      </w:pPr>
      <w:r>
        <w:rPr>
          <w:rFonts w:cs="Times New Roman"/>
        </w:rPr>
        <w:t xml:space="preserve">Pacific Institute 2018. </w:t>
      </w:r>
      <w:r w:rsidR="00F56635" w:rsidRPr="00C83EAC">
        <w:rPr>
          <w:rFonts w:cs="Times New Roman"/>
          <w:szCs w:val="24"/>
        </w:rPr>
        <w:t>Violence over Water Increases: New Data from the Water Conflict Chronology</w:t>
      </w:r>
      <w:r w:rsidR="00F56635">
        <w:rPr>
          <w:rFonts w:cs="Times New Roman"/>
          <w:szCs w:val="24"/>
        </w:rPr>
        <w:t xml:space="preserve">. </w:t>
      </w:r>
      <w:r w:rsidR="00C37693" w:rsidRPr="00FD0B79">
        <w:rPr>
          <w:rFonts w:cs="Times New Roman"/>
        </w:rPr>
        <w:t>Oakland, CA.</w:t>
      </w:r>
      <w:r>
        <w:rPr>
          <w:rFonts w:cs="Times New Roman"/>
        </w:rPr>
        <w:t xml:space="preserve"> </w:t>
      </w:r>
      <w:hyperlink r:id="rId10" w:history="1">
        <w:r w:rsidR="00F56635" w:rsidRPr="00E3761D">
          <w:rPr>
            <w:rStyle w:val="Hyperlink"/>
            <w:rFonts w:cs="Times New Roman"/>
          </w:rPr>
          <w:t>https://bit.ly/3dUPSYT</w:t>
        </w:r>
      </w:hyperlink>
    </w:p>
    <w:p w:rsidR="00C37693" w:rsidRPr="00FD0B79" w:rsidRDefault="00C37693" w:rsidP="007450E6">
      <w:pPr>
        <w:spacing w:line="240" w:lineRule="auto"/>
        <w:rPr>
          <w:rFonts w:cs="Times New Roman"/>
        </w:rPr>
      </w:pPr>
      <w:r w:rsidRPr="00FD0B79">
        <w:rPr>
          <w:rFonts w:cs="Times New Roman"/>
        </w:rPr>
        <w:t>Accessed: 15.04.20</w:t>
      </w:r>
      <w:r w:rsidR="00F56635">
        <w:rPr>
          <w:rFonts w:cs="Times New Roman"/>
        </w:rPr>
        <w:t>2022.</w:t>
      </w:r>
    </w:p>
    <w:p w:rsidR="00C37693" w:rsidRPr="00FD0B79" w:rsidRDefault="00C37693" w:rsidP="007450E6">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 xml:space="preserve">Pacific Institute. 2021. Water Resilience. </w:t>
      </w:r>
      <w:r w:rsidR="00640446" w:rsidRPr="00FD0B79">
        <w:rPr>
          <w:rFonts w:cs="Times New Roman"/>
        </w:rPr>
        <w:t>Catalysing</w:t>
      </w:r>
      <w:r w:rsidRPr="00FD0B79">
        <w:rPr>
          <w:rFonts w:cs="Times New Roman"/>
        </w:rPr>
        <w:t xml:space="preserve"> a Global Transformation. 2021 </w:t>
      </w:r>
      <w:r w:rsidRPr="00F56635">
        <w:rPr>
          <w:rFonts w:cs="Times New Roman"/>
        </w:rPr>
        <w:t>Annual Review</w:t>
      </w:r>
      <w:r w:rsidR="00F56635">
        <w:rPr>
          <w:rFonts w:cs="Times New Roman"/>
        </w:rPr>
        <w:t xml:space="preserve">. </w:t>
      </w:r>
      <w:hyperlink r:id="rId11" w:history="1">
        <w:r w:rsidR="00F56635" w:rsidRPr="00E3761D">
          <w:rPr>
            <w:rStyle w:val="Hyperlink"/>
            <w:rFonts w:cs="Times New Roman"/>
          </w:rPr>
          <w:t>https://bit.ly/3R4nMJ9</w:t>
        </w:r>
      </w:hyperlink>
      <w:r w:rsidR="00B465D6">
        <w:rPr>
          <w:rFonts w:cs="Times New Roman"/>
        </w:rPr>
        <w:t xml:space="preserve"> </w:t>
      </w:r>
      <w:r w:rsidRPr="00FD0B79">
        <w:rPr>
          <w:rFonts w:cs="Times New Roman"/>
        </w:rPr>
        <w:t>Accesses 08.08.2022.</w:t>
      </w:r>
    </w:p>
    <w:p w:rsidR="00C37693" w:rsidRPr="00FD0B79" w:rsidRDefault="00C37693" w:rsidP="007450E6">
      <w:pPr>
        <w:spacing w:line="240" w:lineRule="auto"/>
        <w:rPr>
          <w:rFonts w:cs="Times New Roman"/>
        </w:rPr>
      </w:pPr>
    </w:p>
    <w:p w:rsidR="00C37693" w:rsidRPr="00FD0B79" w:rsidRDefault="00C37693" w:rsidP="007450E6">
      <w:pPr>
        <w:spacing w:line="240" w:lineRule="auto"/>
        <w:rPr>
          <w:rFonts w:cs="Times New Roman"/>
        </w:rPr>
      </w:pPr>
      <w:proofErr w:type="spellStart"/>
      <w:r w:rsidRPr="00FD0B79">
        <w:rPr>
          <w:rFonts w:cs="Times New Roman"/>
        </w:rPr>
        <w:t>Shue</w:t>
      </w:r>
      <w:proofErr w:type="spellEnd"/>
      <w:r w:rsidRPr="00FD0B79">
        <w:rPr>
          <w:rFonts w:cs="Times New Roman"/>
        </w:rPr>
        <w:t>, Henry</w:t>
      </w:r>
      <w:r w:rsidR="003A7A52" w:rsidRPr="00FD0B79">
        <w:rPr>
          <w:rFonts w:cs="Times New Roman"/>
        </w:rPr>
        <w:t>, 1996</w:t>
      </w:r>
      <w:r w:rsidRPr="00FD0B79">
        <w:rPr>
          <w:rFonts w:cs="Times New Roman"/>
        </w:rPr>
        <w:t xml:space="preserve">. </w:t>
      </w:r>
      <w:r w:rsidRPr="00786974">
        <w:rPr>
          <w:rFonts w:cs="Times New Roman"/>
          <w:i/>
        </w:rPr>
        <w:t>Basic Rights. Subsistence, Affluence and U.S. Foreign Policy</w:t>
      </w:r>
      <w:r w:rsidRPr="00FD0B79">
        <w:rPr>
          <w:rFonts w:cs="Times New Roman"/>
        </w:rPr>
        <w:t>. Princeton, N.J., University Press.</w:t>
      </w:r>
    </w:p>
    <w:p w:rsidR="00C37693" w:rsidRPr="00FD0B79" w:rsidRDefault="00C37693" w:rsidP="007450E6">
      <w:pPr>
        <w:spacing w:line="240" w:lineRule="auto"/>
        <w:rPr>
          <w:rFonts w:cs="Times New Roman"/>
        </w:rPr>
      </w:pPr>
    </w:p>
    <w:p w:rsidR="00F56635" w:rsidRDefault="00C37693" w:rsidP="007450E6">
      <w:pPr>
        <w:spacing w:line="240" w:lineRule="auto"/>
        <w:rPr>
          <w:rFonts w:cs="Times New Roman"/>
        </w:rPr>
      </w:pPr>
      <w:r w:rsidRPr="00FD0B79">
        <w:rPr>
          <w:rFonts w:cs="Times New Roman"/>
        </w:rPr>
        <w:t>UN</w:t>
      </w:r>
      <w:r w:rsidR="0050736D">
        <w:rPr>
          <w:rFonts w:cs="Times New Roman"/>
        </w:rPr>
        <w:t xml:space="preserve">, 2022. </w:t>
      </w:r>
      <w:r w:rsidRPr="00FD0B79">
        <w:rPr>
          <w:rFonts w:cs="Times New Roman"/>
        </w:rPr>
        <w:t>Transforming our world: the 2030 Agenda for Sustainable Development</w:t>
      </w:r>
      <w:r w:rsidR="00F56635">
        <w:rPr>
          <w:rFonts w:cs="Times New Roman"/>
        </w:rPr>
        <w:t>.</w:t>
      </w:r>
      <w:r w:rsidR="0050736D">
        <w:rPr>
          <w:rFonts w:cs="Times New Roman"/>
        </w:rPr>
        <w:t xml:space="preserve"> </w:t>
      </w:r>
      <w:hyperlink r:id="rId12" w:history="1">
        <w:r w:rsidR="00F56635" w:rsidRPr="00E3761D">
          <w:rPr>
            <w:rStyle w:val="Hyperlink"/>
            <w:rFonts w:cs="Times New Roman"/>
          </w:rPr>
          <w:t>https://bit.ly/3ckaaL8</w:t>
        </w:r>
      </w:hyperlink>
      <w:r w:rsidR="00D5704C">
        <w:rPr>
          <w:rStyle w:val="Hyperlink"/>
          <w:rFonts w:cs="Times New Roman"/>
        </w:rPr>
        <w:t>.</w:t>
      </w:r>
      <w:r w:rsidR="00B465D6">
        <w:rPr>
          <w:rFonts w:cs="Times New Roman"/>
        </w:rPr>
        <w:t xml:space="preserve"> </w:t>
      </w:r>
      <w:r w:rsidR="00F56635">
        <w:rPr>
          <w:rFonts w:cs="Times New Roman"/>
        </w:rPr>
        <w:t>Accessed 07.8.2022</w:t>
      </w:r>
    </w:p>
    <w:p w:rsidR="00F56635" w:rsidRPr="00FD0B79" w:rsidRDefault="00F56635" w:rsidP="007450E6">
      <w:pPr>
        <w:spacing w:line="240" w:lineRule="auto"/>
        <w:rPr>
          <w:rFonts w:cs="Times New Roman"/>
        </w:rPr>
      </w:pPr>
    </w:p>
    <w:p w:rsidR="00F56635" w:rsidRDefault="00C37693" w:rsidP="007450E6">
      <w:pPr>
        <w:spacing w:line="240" w:lineRule="auto"/>
        <w:rPr>
          <w:rFonts w:cs="Times New Roman"/>
        </w:rPr>
      </w:pPr>
      <w:r w:rsidRPr="00FD0B79">
        <w:rPr>
          <w:rFonts w:cs="Times New Roman"/>
        </w:rPr>
        <w:t>UN</w:t>
      </w:r>
      <w:r w:rsidR="0050736D">
        <w:rPr>
          <w:rFonts w:cs="Times New Roman"/>
        </w:rPr>
        <w:t xml:space="preserve">, 2022. </w:t>
      </w:r>
      <w:r w:rsidRPr="00FD0B79">
        <w:rPr>
          <w:rFonts w:cs="Times New Roman"/>
        </w:rPr>
        <w:t>Sustainable</w:t>
      </w:r>
      <w:r w:rsidR="002753FD" w:rsidRPr="00FD0B79">
        <w:rPr>
          <w:rFonts w:cs="Times New Roman"/>
        </w:rPr>
        <w:t xml:space="preserve"> Development Goals Report 2022.</w:t>
      </w:r>
      <w:r w:rsidR="00F56635">
        <w:rPr>
          <w:rFonts w:cs="Times New Roman"/>
        </w:rPr>
        <w:t xml:space="preserve"> </w:t>
      </w:r>
      <w:hyperlink r:id="rId13" w:history="1">
        <w:r w:rsidR="00F56635" w:rsidRPr="00E3761D">
          <w:rPr>
            <w:rStyle w:val="Hyperlink"/>
            <w:rFonts w:cs="Times New Roman"/>
          </w:rPr>
          <w:t>https://bit.ly/3AidRc8</w:t>
        </w:r>
      </w:hyperlink>
    </w:p>
    <w:p w:rsidR="00F56635" w:rsidRDefault="00F56635" w:rsidP="007450E6">
      <w:pPr>
        <w:spacing w:line="240" w:lineRule="auto"/>
        <w:rPr>
          <w:rFonts w:cs="Times New Roman"/>
        </w:rPr>
      </w:pPr>
      <w:r>
        <w:rPr>
          <w:rFonts w:cs="Times New Roman"/>
        </w:rPr>
        <w:t>Accessed 08.05.2022</w:t>
      </w:r>
    </w:p>
    <w:p w:rsidR="00F56635" w:rsidRDefault="00F56635" w:rsidP="007450E6">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United Nations University, 2011.</w:t>
      </w:r>
      <w:r w:rsidR="00F56635">
        <w:rPr>
          <w:rFonts w:cs="Times New Roman"/>
        </w:rPr>
        <w:t xml:space="preserve"> </w:t>
      </w:r>
      <w:hyperlink r:id="rId14" w:history="1">
        <w:r w:rsidR="00F56635" w:rsidRPr="00E3761D">
          <w:rPr>
            <w:rStyle w:val="Hyperlink"/>
            <w:rFonts w:cs="Times New Roman"/>
          </w:rPr>
          <w:t>https://bit.ly/3AJyX4z</w:t>
        </w:r>
      </w:hyperlink>
      <w:r w:rsidR="00B465D6">
        <w:rPr>
          <w:rFonts w:cs="Times New Roman"/>
        </w:rPr>
        <w:t xml:space="preserve"> </w:t>
      </w:r>
      <w:r w:rsidR="00F56635">
        <w:rPr>
          <w:rFonts w:cs="Times New Roman"/>
        </w:rPr>
        <w:t>Accessed 04. 2</w:t>
      </w:r>
      <w:r w:rsidRPr="00FD0B79">
        <w:rPr>
          <w:rFonts w:cs="Times New Roman"/>
        </w:rPr>
        <w:t>018.</w:t>
      </w:r>
    </w:p>
    <w:p w:rsidR="00C37693" w:rsidRPr="00FD0B79" w:rsidRDefault="00C37693" w:rsidP="007450E6">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UN</w:t>
      </w:r>
      <w:r w:rsidR="00567914">
        <w:rPr>
          <w:rFonts w:cs="Times New Roman"/>
        </w:rPr>
        <w:t>, 1999</w:t>
      </w:r>
      <w:r w:rsidR="00B465D6">
        <w:rPr>
          <w:rFonts w:cs="Times New Roman"/>
        </w:rPr>
        <w:t>.</w:t>
      </w:r>
      <w:r w:rsidRPr="00FD0B79">
        <w:rPr>
          <w:rFonts w:cs="Times New Roman"/>
        </w:rPr>
        <w:t xml:space="preserve"> General Comment 12. The Right to Adequate Food. E/</w:t>
      </w:r>
      <w:proofErr w:type="spellStart"/>
      <w:r w:rsidRPr="00FD0B79">
        <w:rPr>
          <w:rFonts w:cs="Times New Roman"/>
        </w:rPr>
        <w:t>C.12</w:t>
      </w:r>
      <w:proofErr w:type="spellEnd"/>
      <w:r w:rsidRPr="00FD0B79">
        <w:rPr>
          <w:rFonts w:cs="Times New Roman"/>
        </w:rPr>
        <w:t>/1999/5.</w:t>
      </w:r>
    </w:p>
    <w:p w:rsidR="00C37693" w:rsidRPr="00FD0B79" w:rsidRDefault="00C37693" w:rsidP="007450E6">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UN</w:t>
      </w:r>
      <w:r w:rsidR="00567914">
        <w:rPr>
          <w:rFonts w:cs="Times New Roman"/>
        </w:rPr>
        <w:t>, 2002</w:t>
      </w:r>
      <w:r w:rsidR="00B465D6">
        <w:rPr>
          <w:rFonts w:cs="Times New Roman"/>
        </w:rPr>
        <w:t>.</w:t>
      </w:r>
      <w:r w:rsidRPr="00FD0B79">
        <w:rPr>
          <w:rFonts w:cs="Times New Roman"/>
        </w:rPr>
        <w:t xml:space="preserve"> General Comment 15 on the Right to Water, E/</w:t>
      </w:r>
      <w:proofErr w:type="spellStart"/>
      <w:r w:rsidRPr="00FD0B79">
        <w:rPr>
          <w:rFonts w:cs="Times New Roman"/>
        </w:rPr>
        <w:t>C.12</w:t>
      </w:r>
      <w:proofErr w:type="spellEnd"/>
      <w:r w:rsidRPr="00FD0B79">
        <w:rPr>
          <w:rFonts w:cs="Times New Roman"/>
        </w:rPr>
        <w:t>/2002/11.</w:t>
      </w:r>
    </w:p>
    <w:p w:rsidR="00C37693" w:rsidRPr="00FD0B79" w:rsidRDefault="00C37693" w:rsidP="007450E6">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UN</w:t>
      </w:r>
      <w:r w:rsidR="00567914">
        <w:rPr>
          <w:rFonts w:cs="Times New Roman"/>
        </w:rPr>
        <w:t>, 1989</w:t>
      </w:r>
      <w:r w:rsidR="00B465D6">
        <w:rPr>
          <w:rFonts w:cs="Times New Roman"/>
        </w:rPr>
        <w:t>.</w:t>
      </w:r>
      <w:r w:rsidRPr="00FD0B79">
        <w:rPr>
          <w:rFonts w:cs="Times New Roman"/>
        </w:rPr>
        <w:t xml:space="preserve"> Convention on the Rights of the Child of 1989</w:t>
      </w:r>
    </w:p>
    <w:p w:rsidR="00C37693" w:rsidRPr="00FD0B79" w:rsidRDefault="00C37693" w:rsidP="007450E6">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UN</w:t>
      </w:r>
      <w:r w:rsidR="00567914">
        <w:rPr>
          <w:rFonts w:cs="Times New Roman"/>
        </w:rPr>
        <w:t>, 1979</w:t>
      </w:r>
      <w:r w:rsidR="00B465D6">
        <w:rPr>
          <w:rFonts w:cs="Times New Roman"/>
        </w:rPr>
        <w:t>.</w:t>
      </w:r>
      <w:r w:rsidRPr="00FD0B79">
        <w:rPr>
          <w:rFonts w:cs="Times New Roman"/>
        </w:rPr>
        <w:t xml:space="preserve"> Convention </w:t>
      </w:r>
      <w:proofErr w:type="gramStart"/>
      <w:r w:rsidRPr="00FD0B79">
        <w:rPr>
          <w:rFonts w:cs="Times New Roman"/>
        </w:rPr>
        <w:t>Against</w:t>
      </w:r>
      <w:proofErr w:type="gramEnd"/>
      <w:r w:rsidRPr="00FD0B79">
        <w:rPr>
          <w:rFonts w:cs="Times New Roman"/>
        </w:rPr>
        <w:t xml:space="preserve"> Discrimination of Women (CEDAW)</w:t>
      </w:r>
    </w:p>
    <w:p w:rsidR="00C37693" w:rsidRPr="00FD0B79" w:rsidRDefault="00C37693" w:rsidP="007450E6">
      <w:pPr>
        <w:spacing w:line="240" w:lineRule="auto"/>
        <w:rPr>
          <w:rFonts w:cs="Times New Roman"/>
        </w:rPr>
      </w:pPr>
    </w:p>
    <w:p w:rsidR="00C37693" w:rsidRPr="00FD0B79" w:rsidRDefault="00C37693" w:rsidP="007450E6">
      <w:pPr>
        <w:spacing w:line="240" w:lineRule="auto"/>
        <w:rPr>
          <w:rFonts w:cs="Times New Roman"/>
        </w:rPr>
      </w:pPr>
      <w:r w:rsidRPr="00FD0B79">
        <w:rPr>
          <w:rFonts w:cs="Times New Roman"/>
        </w:rPr>
        <w:t>UN</w:t>
      </w:r>
      <w:r w:rsidR="00567914">
        <w:rPr>
          <w:rFonts w:cs="Times New Roman"/>
        </w:rPr>
        <w:t>, 1966</w:t>
      </w:r>
      <w:r w:rsidR="00B465D6">
        <w:rPr>
          <w:rFonts w:cs="Times New Roman"/>
        </w:rPr>
        <w:t>.</w:t>
      </w:r>
      <w:r w:rsidRPr="00FD0B79">
        <w:rPr>
          <w:rFonts w:cs="Times New Roman"/>
        </w:rPr>
        <w:t xml:space="preserve"> Covenant on Economic, Social and Cultural Rights (IESCR)</w:t>
      </w:r>
    </w:p>
    <w:p w:rsidR="001A2694" w:rsidRPr="00FD0B79" w:rsidRDefault="001A2694" w:rsidP="007450E6">
      <w:pPr>
        <w:spacing w:line="240" w:lineRule="auto"/>
        <w:rPr>
          <w:rFonts w:cs="Times New Roman"/>
        </w:rPr>
      </w:pPr>
    </w:p>
    <w:sectPr w:rsidR="001A2694" w:rsidRPr="00FD0B79" w:rsidSect="0041523E">
      <w:headerReference w:type="even" r:id="rId15"/>
      <w:headerReference w:type="default" r:id="rId16"/>
      <w:footerReference w:type="default" r:id="rId17"/>
      <w:footerReference w:type="first" r:id="rId18"/>
      <w:pgSz w:w="11909" w:h="16834"/>
      <w:pgMar w:top="1440" w:right="1440" w:bottom="1440" w:left="2520" w:header="720" w:footer="720" w:gutter="0"/>
      <w:pgNumType w:start="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0BF" w:rsidRDefault="00F240BF" w:rsidP="00AE34CE">
      <w:pPr>
        <w:spacing w:line="240" w:lineRule="auto"/>
      </w:pPr>
      <w:r>
        <w:separator/>
      </w:r>
    </w:p>
  </w:endnote>
  <w:endnote w:type="continuationSeparator" w:id="0">
    <w:p w:rsidR="00F240BF" w:rsidRDefault="00F240BF" w:rsidP="00AE3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BC" w:rsidRDefault="00395D6C" w:rsidP="00032488">
    <w:pPr>
      <w:pStyle w:val="author"/>
    </w:pPr>
    <w:r>
      <w:t xml:space="preserve">Haki Journal of Human Rights Vol. 1 </w:t>
    </w:r>
    <w:r w:rsidR="00032488">
      <w:t xml:space="preserve">No. 1 </w:t>
    </w:r>
    <w:r>
      <w:t>Sep</w:t>
    </w:r>
    <w:r w:rsidR="00032488">
      <w:t>t</w:t>
    </w:r>
    <w:r>
      <w:t>ember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3E" w:rsidRPr="00B818B6" w:rsidRDefault="0041523E" w:rsidP="0041523E">
    <w:pPr>
      <w:pStyle w:val="Footer"/>
      <w:rPr>
        <w:sz w:val="20"/>
        <w:szCs w:val="20"/>
      </w:rPr>
    </w:pPr>
    <w:r w:rsidRPr="00B818B6">
      <w:rPr>
        <w:sz w:val="20"/>
        <w:szCs w:val="20"/>
      </w:rPr>
      <w:t>Haki Journal of Human Rights Vol. 1. No</w:t>
    </w:r>
    <w:r>
      <w:rPr>
        <w:sz w:val="20"/>
        <w:szCs w:val="20"/>
      </w:rPr>
      <w:t xml:space="preserve"> </w:t>
    </w:r>
    <w:r w:rsidRPr="00B818B6">
      <w:rPr>
        <w:sz w:val="20"/>
        <w:szCs w:val="20"/>
      </w:rPr>
      <w:t>1 September 2022</w:t>
    </w:r>
  </w:p>
  <w:p w:rsidR="0041523E" w:rsidRDefault="00415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0BF" w:rsidRDefault="00F240BF" w:rsidP="00AE34CE">
      <w:pPr>
        <w:spacing w:line="240" w:lineRule="auto"/>
      </w:pPr>
      <w:r>
        <w:separator/>
      </w:r>
    </w:p>
  </w:footnote>
  <w:footnote w:type="continuationSeparator" w:id="0">
    <w:p w:rsidR="00F240BF" w:rsidRDefault="00F240BF" w:rsidP="00AE34CE">
      <w:pPr>
        <w:spacing w:line="240" w:lineRule="auto"/>
      </w:pPr>
      <w:r>
        <w:continuationSeparator/>
      </w:r>
    </w:p>
  </w:footnote>
  <w:footnote w:id="1">
    <w:p w:rsidR="0041523E" w:rsidRPr="001463D2" w:rsidRDefault="0041523E" w:rsidP="0041523E">
      <w:pPr>
        <w:spacing w:line="240" w:lineRule="auto"/>
        <w:rPr>
          <w:sz w:val="20"/>
          <w:szCs w:val="20"/>
        </w:rPr>
      </w:pPr>
      <w:r>
        <w:rPr>
          <w:rStyle w:val="FootnoteReference"/>
        </w:rPr>
        <w:footnoteRef/>
      </w:r>
      <w:r w:rsidRPr="001463D2">
        <w:rPr>
          <w:sz w:val="20"/>
          <w:szCs w:val="20"/>
        </w:rPr>
        <w:t>Prof. Bård A. Andreassen is the Director of the Norwegian Centre for Human Rights and a Professor of Political Science and International Human Rights law, University of Oslo, University of Oslo. He has over 30 years’ experience in research and policy analysis in sub-Sahara Africa and South East Asia</w:t>
      </w:r>
    </w:p>
    <w:p w:rsidR="0041523E" w:rsidRPr="0041523E" w:rsidRDefault="0041523E">
      <w:pPr>
        <w:pStyle w:val="FootnoteText"/>
        <w:rPr>
          <w:lang w:val="en-US"/>
        </w:rPr>
      </w:pPr>
    </w:p>
  </w:footnote>
  <w:footnote w:id="2">
    <w:p w:rsidR="009A7CC3" w:rsidRPr="009A7CC3" w:rsidRDefault="009A7CC3">
      <w:pPr>
        <w:pStyle w:val="FootnoteText"/>
        <w:rPr>
          <w:lang w:val="en-US"/>
        </w:rPr>
      </w:pPr>
      <w:r>
        <w:rPr>
          <w:rStyle w:val="FootnoteReference"/>
        </w:rPr>
        <w:footnoteRef/>
      </w:r>
      <w:r>
        <w:t xml:space="preserve">Henry </w:t>
      </w:r>
      <w:proofErr w:type="spellStart"/>
      <w:r w:rsidRPr="007450E6">
        <w:t>Shue</w:t>
      </w:r>
      <w:proofErr w:type="spellEnd"/>
      <w:r w:rsidRPr="007450E6">
        <w:t>, 1980</w:t>
      </w:r>
    </w:p>
  </w:footnote>
  <w:footnote w:id="3">
    <w:p w:rsidR="008303BF" w:rsidRPr="008303BF" w:rsidRDefault="008303BF" w:rsidP="00260700">
      <w:pPr>
        <w:pStyle w:val="FootnoteText"/>
        <w:spacing w:before="0"/>
        <w:rPr>
          <w:lang w:val="en-US"/>
        </w:rPr>
      </w:pPr>
      <w:r>
        <w:rPr>
          <w:rStyle w:val="FootnoteReference"/>
        </w:rPr>
        <w:footnoteRef/>
      </w:r>
      <w:r>
        <w:t xml:space="preserve">See International </w:t>
      </w:r>
      <w:r w:rsidRPr="007450E6">
        <w:t>Covenant on Economic, Social and Cultural Rights (</w:t>
      </w:r>
      <w:r w:rsidR="00E24347">
        <w:t>I</w:t>
      </w:r>
      <w:r w:rsidRPr="007450E6">
        <w:t>CESCR)</w:t>
      </w:r>
      <w:r w:rsidR="00E24347">
        <w:t>, Article 11(1&amp; 2)</w:t>
      </w:r>
    </w:p>
  </w:footnote>
  <w:footnote w:id="4">
    <w:p w:rsidR="00E24347" w:rsidRDefault="00E24347" w:rsidP="00260700">
      <w:pPr>
        <w:pStyle w:val="FootnoteText"/>
        <w:spacing w:before="0"/>
      </w:pPr>
      <w:r>
        <w:rPr>
          <w:rStyle w:val="FootnoteReference"/>
        </w:rPr>
        <w:footnoteRef/>
      </w:r>
      <w:r>
        <w:t xml:space="preserve">See </w:t>
      </w:r>
      <w:r w:rsidRPr="007450E6">
        <w:t>United Nation Committee on Economic, Social and Cultural Rights</w:t>
      </w:r>
      <w:r>
        <w:t xml:space="preserve"> General Comment 15</w:t>
      </w:r>
    </w:p>
    <w:p w:rsidR="00E24347" w:rsidRPr="00E24347" w:rsidRDefault="00C40A60" w:rsidP="00260700">
      <w:pPr>
        <w:pStyle w:val="FootnoteText"/>
        <w:spacing w:before="0"/>
        <w:rPr>
          <w:lang w:val="en-US"/>
        </w:rPr>
      </w:pPr>
      <w:r>
        <w:t xml:space="preserve">  </w:t>
      </w:r>
      <w:r w:rsidR="00E24347" w:rsidRPr="007450E6">
        <w:t>E/</w:t>
      </w:r>
      <w:proofErr w:type="spellStart"/>
      <w:r w:rsidR="00E24347" w:rsidRPr="007450E6">
        <w:t>C.12</w:t>
      </w:r>
      <w:proofErr w:type="spellEnd"/>
      <w:r w:rsidR="00E24347" w:rsidRPr="007450E6">
        <w:t>/2002/11</w:t>
      </w:r>
    </w:p>
  </w:footnote>
  <w:footnote w:id="5">
    <w:p w:rsidR="00E24347" w:rsidRPr="00E24347" w:rsidRDefault="00E24347" w:rsidP="00260700">
      <w:pPr>
        <w:pStyle w:val="FootnoteText"/>
        <w:spacing w:before="0"/>
        <w:rPr>
          <w:lang w:val="en-US"/>
        </w:rPr>
      </w:pPr>
      <w:r>
        <w:rPr>
          <w:rStyle w:val="FootnoteReference"/>
        </w:rPr>
        <w:footnoteRef/>
      </w:r>
      <w:r>
        <w:t xml:space="preserve"> Ibid </w:t>
      </w:r>
      <w:r w:rsidRPr="007450E6">
        <w:t xml:space="preserve">para </w:t>
      </w:r>
      <w:r w:rsidR="00C40A60">
        <w:t>3</w:t>
      </w:r>
      <w:r w:rsidRPr="007450E6">
        <w:t xml:space="preserve">  </w:t>
      </w:r>
    </w:p>
  </w:footnote>
  <w:footnote w:id="6">
    <w:p w:rsidR="00C40A60" w:rsidRPr="00C40A60" w:rsidRDefault="00C40A60" w:rsidP="00260700">
      <w:pPr>
        <w:pStyle w:val="FootnoteText"/>
        <w:spacing w:before="0"/>
        <w:rPr>
          <w:lang w:val="en-US"/>
        </w:rPr>
      </w:pPr>
      <w:r>
        <w:rPr>
          <w:rStyle w:val="FootnoteReference"/>
        </w:rPr>
        <w:footnoteRef/>
      </w:r>
      <w:r>
        <w:t xml:space="preserve"> </w:t>
      </w:r>
      <w:r>
        <w:rPr>
          <w:lang w:val="en-US"/>
        </w:rPr>
        <w:t>Ibid para 1</w:t>
      </w:r>
    </w:p>
  </w:footnote>
  <w:footnote w:id="7">
    <w:p w:rsidR="00C40A60" w:rsidRPr="00C40A60" w:rsidRDefault="00C40A60" w:rsidP="00260700">
      <w:pPr>
        <w:pStyle w:val="FootnoteText"/>
        <w:spacing w:before="0"/>
        <w:rPr>
          <w:lang w:val="en-US"/>
        </w:rPr>
      </w:pPr>
      <w:r>
        <w:rPr>
          <w:rStyle w:val="FootnoteReference"/>
        </w:rPr>
        <w:footnoteRef/>
      </w:r>
      <w:r>
        <w:t xml:space="preserve"> </w:t>
      </w:r>
      <w:r w:rsidRPr="007450E6">
        <w:t xml:space="preserve"> </w:t>
      </w:r>
      <w:proofErr w:type="spellStart"/>
      <w:r>
        <w:t>Shue</w:t>
      </w:r>
      <w:proofErr w:type="spellEnd"/>
      <w:r>
        <w:t>, 1980, p</w:t>
      </w:r>
      <w:r w:rsidR="00FD0B79">
        <w:t xml:space="preserve">. </w:t>
      </w:r>
      <w:r>
        <w:t>19</w:t>
      </w:r>
    </w:p>
  </w:footnote>
  <w:footnote w:id="8">
    <w:p w:rsidR="00C40A60" w:rsidRPr="00C40A60" w:rsidRDefault="00C40A60" w:rsidP="00260700">
      <w:pPr>
        <w:pStyle w:val="FootnoteText"/>
        <w:spacing w:before="0"/>
        <w:rPr>
          <w:lang w:val="en-US"/>
        </w:rPr>
      </w:pPr>
      <w:r>
        <w:rPr>
          <w:rStyle w:val="FootnoteReference"/>
        </w:rPr>
        <w:footnoteRef/>
      </w:r>
      <w:r>
        <w:t xml:space="preserve"> </w:t>
      </w:r>
      <w:r>
        <w:rPr>
          <w:lang w:val="en-US"/>
        </w:rPr>
        <w:t>This includes</w:t>
      </w:r>
      <w:r w:rsidRPr="007450E6">
        <w:t xml:space="preserve"> </w:t>
      </w:r>
      <w:r>
        <w:t>right to food, health water among others</w:t>
      </w:r>
    </w:p>
  </w:footnote>
  <w:footnote w:id="9">
    <w:p w:rsidR="00C40A60" w:rsidRPr="00984C0A" w:rsidRDefault="00C40A60" w:rsidP="00984C0A">
      <w:pPr>
        <w:pStyle w:val="FootnoteText"/>
        <w:spacing w:before="0"/>
        <w:rPr>
          <w:rFonts w:cs="Times New Roman"/>
          <w:lang w:val="en-US"/>
        </w:rPr>
      </w:pPr>
      <w:r w:rsidRPr="00984C0A">
        <w:rPr>
          <w:rStyle w:val="FootnoteReference"/>
          <w:rFonts w:ascii="Times New Roman" w:hAnsi="Times New Roman" w:cs="Times New Roman"/>
          <w:sz w:val="20"/>
        </w:rPr>
        <w:footnoteRef/>
      </w:r>
      <w:proofErr w:type="spellStart"/>
      <w:r w:rsidRPr="00984C0A">
        <w:rPr>
          <w:rFonts w:cs="Times New Roman"/>
        </w:rPr>
        <w:t>Hellum</w:t>
      </w:r>
      <w:proofErr w:type="spellEnd"/>
      <w:r w:rsidRPr="00984C0A">
        <w:rPr>
          <w:rFonts w:cs="Times New Roman"/>
        </w:rPr>
        <w:t xml:space="preserve"> et al, 2016, p</w:t>
      </w:r>
      <w:r w:rsidR="00260700" w:rsidRPr="00984C0A">
        <w:rPr>
          <w:rFonts w:cs="Times New Roman"/>
        </w:rPr>
        <w:t xml:space="preserve">. </w:t>
      </w:r>
      <w:r w:rsidRPr="00984C0A">
        <w:rPr>
          <w:rFonts w:cs="Times New Roman"/>
        </w:rPr>
        <w:t xml:space="preserve">35  </w:t>
      </w:r>
    </w:p>
  </w:footnote>
  <w:footnote w:id="10">
    <w:p w:rsidR="00B55B1A" w:rsidRPr="00984C0A" w:rsidRDefault="00B55B1A" w:rsidP="00984C0A">
      <w:pPr>
        <w:pStyle w:val="FootnoteText"/>
        <w:spacing w:before="0"/>
        <w:rPr>
          <w:rFonts w:cs="Times New Roman"/>
          <w:lang w:val="en-US"/>
        </w:rPr>
      </w:pPr>
      <w:r w:rsidRPr="00984C0A">
        <w:rPr>
          <w:rStyle w:val="FootnoteReference"/>
          <w:rFonts w:ascii="Times New Roman" w:hAnsi="Times New Roman" w:cs="Times New Roman"/>
          <w:sz w:val="20"/>
        </w:rPr>
        <w:footnoteRef/>
      </w:r>
      <w:r w:rsidRPr="00984C0A">
        <w:rPr>
          <w:rFonts w:cs="Times New Roman"/>
        </w:rPr>
        <w:t xml:space="preserve"> See UN Convention Against Discrimination of Women (CEDAW), article 14(2)</w:t>
      </w:r>
    </w:p>
  </w:footnote>
  <w:footnote w:id="11">
    <w:p w:rsidR="00B55B1A" w:rsidRPr="00984C0A" w:rsidRDefault="00B55B1A" w:rsidP="00984C0A">
      <w:pPr>
        <w:pStyle w:val="FootnoteText"/>
        <w:spacing w:before="0"/>
        <w:rPr>
          <w:rFonts w:cs="Times New Roman"/>
        </w:rPr>
      </w:pPr>
      <w:r w:rsidRPr="00984C0A">
        <w:rPr>
          <w:rStyle w:val="FootnoteReference"/>
          <w:rFonts w:ascii="Times New Roman" w:hAnsi="Times New Roman" w:cs="Times New Roman"/>
          <w:sz w:val="20"/>
        </w:rPr>
        <w:footnoteRef/>
      </w:r>
      <w:r w:rsidRPr="00984C0A">
        <w:rPr>
          <w:rFonts w:cs="Times New Roman"/>
        </w:rPr>
        <w:t xml:space="preserve"> Protocol to the African Charter on Human and People’s Rights on the Rights of Women in</w:t>
      </w:r>
    </w:p>
    <w:p w:rsidR="00B55B1A" w:rsidRPr="00984C0A" w:rsidRDefault="00B55B1A" w:rsidP="00984C0A">
      <w:pPr>
        <w:pStyle w:val="FootnoteText"/>
        <w:spacing w:before="0"/>
        <w:rPr>
          <w:rFonts w:cs="Times New Roman"/>
          <w:lang w:val="en-US"/>
        </w:rPr>
      </w:pPr>
      <w:r w:rsidRPr="00984C0A">
        <w:rPr>
          <w:rFonts w:cs="Times New Roman"/>
        </w:rPr>
        <w:t>Africa was adopted by the African Union on 11 July 2013</w:t>
      </w:r>
    </w:p>
  </w:footnote>
  <w:footnote w:id="12">
    <w:p w:rsidR="00B55B1A" w:rsidRPr="00984C0A" w:rsidRDefault="00B55B1A" w:rsidP="00984C0A">
      <w:pPr>
        <w:pStyle w:val="FootnoteText"/>
        <w:rPr>
          <w:rFonts w:cs="Times New Roman"/>
          <w:lang w:val="en-US"/>
        </w:rPr>
      </w:pPr>
      <w:r w:rsidRPr="00984C0A">
        <w:rPr>
          <w:rStyle w:val="FootnoteReference"/>
          <w:rFonts w:ascii="Times New Roman" w:hAnsi="Times New Roman" w:cs="Times New Roman"/>
          <w:sz w:val="20"/>
        </w:rPr>
        <w:footnoteRef/>
      </w:r>
      <w:r w:rsidRPr="00984C0A">
        <w:rPr>
          <w:rFonts w:cs="Times New Roman"/>
        </w:rPr>
        <w:t>Ibid., article 15(a)</w:t>
      </w:r>
    </w:p>
  </w:footnote>
  <w:footnote w:id="13">
    <w:p w:rsidR="00974726" w:rsidRPr="00984C0A" w:rsidRDefault="00974726" w:rsidP="00984C0A">
      <w:pPr>
        <w:spacing w:line="240" w:lineRule="auto"/>
        <w:rPr>
          <w:rFonts w:cs="Times New Roman"/>
          <w:sz w:val="20"/>
          <w:szCs w:val="20"/>
        </w:rPr>
      </w:pPr>
      <w:r w:rsidRPr="00984C0A">
        <w:rPr>
          <w:rStyle w:val="FootnoteReference"/>
          <w:rFonts w:ascii="Times New Roman" w:hAnsi="Times New Roman" w:cs="Times New Roman"/>
          <w:sz w:val="20"/>
          <w:szCs w:val="20"/>
        </w:rPr>
        <w:footnoteRef/>
      </w:r>
      <w:r w:rsidRPr="00984C0A">
        <w:rPr>
          <w:rFonts w:cs="Times New Roman"/>
          <w:sz w:val="20"/>
          <w:szCs w:val="20"/>
        </w:rPr>
        <w:t>United Nation Committee on Economic, Social and Cultural Rights General Comment 15, para 12(a)</w:t>
      </w:r>
    </w:p>
  </w:footnote>
  <w:footnote w:id="14">
    <w:p w:rsidR="002753FD" w:rsidRPr="00984C0A" w:rsidRDefault="00C37693" w:rsidP="00984C0A">
      <w:pPr>
        <w:pStyle w:val="FootnoteText"/>
        <w:spacing w:before="0"/>
        <w:ind w:left="0" w:firstLine="0"/>
        <w:jc w:val="both"/>
        <w:rPr>
          <w:rFonts w:cs="Times New Roman"/>
        </w:rPr>
      </w:pPr>
      <w:r w:rsidRPr="00984C0A">
        <w:rPr>
          <w:rStyle w:val="FootnoteReference"/>
          <w:rFonts w:ascii="Times New Roman" w:hAnsi="Times New Roman" w:cs="Times New Roman"/>
          <w:sz w:val="20"/>
        </w:rPr>
        <w:footnoteRef/>
      </w:r>
      <w:r w:rsidRPr="00984C0A">
        <w:rPr>
          <w:rFonts w:cs="Times New Roman"/>
        </w:rPr>
        <w:t xml:space="preserve"> The International Bill of Human Rights consists of the key human </w:t>
      </w:r>
      <w:r w:rsidR="002753FD" w:rsidRPr="00984C0A">
        <w:rPr>
          <w:rFonts w:cs="Times New Roman"/>
        </w:rPr>
        <w:t>rights documents; the Universal</w:t>
      </w:r>
    </w:p>
    <w:p w:rsidR="002753FD" w:rsidRPr="00984C0A" w:rsidRDefault="00C37693" w:rsidP="00984C0A">
      <w:pPr>
        <w:pStyle w:val="FootnoteText"/>
        <w:spacing w:before="0"/>
        <w:jc w:val="both"/>
        <w:rPr>
          <w:rFonts w:cs="Times New Roman"/>
        </w:rPr>
      </w:pPr>
      <w:r w:rsidRPr="00984C0A">
        <w:rPr>
          <w:rFonts w:cs="Times New Roman"/>
        </w:rPr>
        <w:t xml:space="preserve">Declaration of Human Rights (1948), the UN Covenant on Civil and </w:t>
      </w:r>
      <w:r w:rsidR="002753FD" w:rsidRPr="00984C0A">
        <w:rPr>
          <w:rFonts w:cs="Times New Roman"/>
        </w:rPr>
        <w:t>Political Rights (1966) and the</w:t>
      </w:r>
    </w:p>
    <w:p w:rsidR="00C37693" w:rsidRPr="00984C0A" w:rsidRDefault="00C37693" w:rsidP="00984C0A">
      <w:pPr>
        <w:pStyle w:val="FootnoteText"/>
        <w:spacing w:before="0"/>
        <w:jc w:val="both"/>
        <w:rPr>
          <w:rFonts w:cs="Times New Roman"/>
        </w:rPr>
      </w:pPr>
      <w:r w:rsidRPr="00984C0A">
        <w:rPr>
          <w:rFonts w:cs="Times New Roman"/>
        </w:rPr>
        <w:t>UN Covenant on Economic, Social and Cultural Rights (1966).</w:t>
      </w:r>
    </w:p>
  </w:footnote>
  <w:footnote w:id="15">
    <w:p w:rsidR="00D13D03" w:rsidRPr="00984C0A" w:rsidRDefault="00D13D03" w:rsidP="00984C0A">
      <w:pPr>
        <w:spacing w:line="240" w:lineRule="auto"/>
        <w:rPr>
          <w:rFonts w:cs="Times New Roman"/>
          <w:sz w:val="20"/>
          <w:szCs w:val="20"/>
        </w:rPr>
      </w:pPr>
      <w:r w:rsidRPr="00984C0A">
        <w:rPr>
          <w:rStyle w:val="FootnoteReference"/>
          <w:rFonts w:ascii="Times New Roman" w:hAnsi="Times New Roman" w:cs="Times New Roman"/>
          <w:sz w:val="20"/>
          <w:szCs w:val="20"/>
        </w:rPr>
        <w:footnoteRef/>
      </w:r>
      <w:r w:rsidRPr="00984C0A">
        <w:rPr>
          <w:rFonts w:cs="Times New Roman"/>
          <w:sz w:val="20"/>
          <w:szCs w:val="20"/>
        </w:rPr>
        <w:t>See CESCR General Comment No. 12:  The Right to Adequate Food (Art. 11)</w:t>
      </w:r>
    </w:p>
  </w:footnote>
  <w:footnote w:id="16">
    <w:p w:rsidR="00D13D03" w:rsidRPr="00984C0A" w:rsidRDefault="00D13D03" w:rsidP="00984C0A">
      <w:pPr>
        <w:pStyle w:val="FootnoteText"/>
        <w:ind w:left="0" w:firstLine="0"/>
        <w:rPr>
          <w:rFonts w:cs="Times New Roman"/>
          <w:lang w:val="en-US"/>
        </w:rPr>
      </w:pPr>
      <w:r w:rsidRPr="00984C0A">
        <w:rPr>
          <w:rStyle w:val="FootnoteReference"/>
          <w:rFonts w:ascii="Times New Roman" w:hAnsi="Times New Roman" w:cs="Times New Roman"/>
          <w:sz w:val="20"/>
        </w:rPr>
        <w:footnoteRef/>
      </w:r>
      <w:r w:rsidRPr="00984C0A">
        <w:rPr>
          <w:rFonts w:cs="Times New Roman"/>
        </w:rPr>
        <w:t>Ibid., para 6</w:t>
      </w:r>
    </w:p>
  </w:footnote>
  <w:footnote w:id="17">
    <w:p w:rsidR="00D13D03" w:rsidRPr="00984C0A" w:rsidRDefault="00D13D03" w:rsidP="00984C0A">
      <w:pPr>
        <w:pStyle w:val="FootnoteText"/>
        <w:ind w:left="0" w:firstLine="0"/>
        <w:rPr>
          <w:rFonts w:cs="Times New Roman"/>
          <w:lang w:val="en-US"/>
        </w:rPr>
      </w:pPr>
      <w:r w:rsidRPr="00984C0A">
        <w:rPr>
          <w:rStyle w:val="FootnoteReference"/>
          <w:rFonts w:ascii="Times New Roman" w:hAnsi="Times New Roman" w:cs="Times New Roman"/>
          <w:sz w:val="20"/>
        </w:rPr>
        <w:footnoteRef/>
      </w:r>
      <w:r w:rsidRPr="00984C0A">
        <w:rPr>
          <w:rFonts w:cs="Times New Roman"/>
          <w:lang w:val="en-US"/>
        </w:rPr>
        <w:t>Ibid para 7</w:t>
      </w:r>
    </w:p>
  </w:footnote>
  <w:footnote w:id="18">
    <w:p w:rsidR="003E3B8C" w:rsidRPr="00984C0A" w:rsidRDefault="003E3B8C" w:rsidP="00984C0A">
      <w:pPr>
        <w:pStyle w:val="FootnoteText"/>
        <w:ind w:left="0" w:firstLine="0"/>
        <w:rPr>
          <w:rFonts w:cs="Times New Roman"/>
          <w:lang w:val="en-US"/>
        </w:rPr>
      </w:pPr>
      <w:r w:rsidRPr="00984C0A">
        <w:rPr>
          <w:rStyle w:val="FootnoteReference"/>
          <w:rFonts w:ascii="Times New Roman" w:hAnsi="Times New Roman" w:cs="Times New Roman"/>
          <w:sz w:val="20"/>
        </w:rPr>
        <w:footnoteRef/>
      </w:r>
      <w:r w:rsidRPr="00984C0A">
        <w:rPr>
          <w:rFonts w:cs="Times New Roman"/>
          <w:lang w:val="en-US"/>
        </w:rPr>
        <w:t>Ibid</w:t>
      </w:r>
    </w:p>
  </w:footnote>
  <w:footnote w:id="19">
    <w:p w:rsidR="00984C0A" w:rsidRPr="003E3B8C" w:rsidRDefault="00984C0A" w:rsidP="006E2D8B">
      <w:pPr>
        <w:pStyle w:val="FootnoteText"/>
        <w:spacing w:before="0"/>
        <w:rPr>
          <w:lang w:val="en-US"/>
        </w:rPr>
      </w:pPr>
      <w:r>
        <w:rPr>
          <w:rStyle w:val="FootnoteReference"/>
        </w:rPr>
        <w:footnoteRef/>
      </w:r>
      <w:r w:rsidRPr="007450E6">
        <w:t>G</w:t>
      </w:r>
      <w:r>
        <w:t>eneral Comment 1</w:t>
      </w:r>
      <w:r w:rsidRPr="007450E6">
        <w:t>5</w:t>
      </w:r>
      <w:r>
        <w:t xml:space="preserve">, </w:t>
      </w:r>
      <w:r w:rsidRPr="007450E6">
        <w:t>para 10</w:t>
      </w:r>
    </w:p>
  </w:footnote>
  <w:footnote w:id="20">
    <w:p w:rsidR="003E3B8C" w:rsidRPr="003E3B8C" w:rsidRDefault="003E3B8C" w:rsidP="006E2D8B">
      <w:pPr>
        <w:pStyle w:val="FootnoteText"/>
        <w:spacing w:before="0"/>
        <w:rPr>
          <w:lang w:val="en-US"/>
        </w:rPr>
      </w:pPr>
      <w:r>
        <w:rPr>
          <w:rStyle w:val="FootnoteReference"/>
        </w:rPr>
        <w:footnoteRef/>
      </w:r>
      <w:r>
        <w:t xml:space="preserve"> </w:t>
      </w:r>
      <w:r>
        <w:rPr>
          <w:lang w:val="en-US"/>
        </w:rPr>
        <w:t>Ibid</w:t>
      </w:r>
    </w:p>
  </w:footnote>
  <w:footnote w:id="21">
    <w:p w:rsidR="003E3B8C" w:rsidRPr="003E3B8C" w:rsidRDefault="003E3B8C" w:rsidP="006E2D8B">
      <w:pPr>
        <w:pStyle w:val="FootnoteText"/>
        <w:spacing w:before="0"/>
        <w:rPr>
          <w:lang w:val="en-US"/>
        </w:rPr>
      </w:pPr>
      <w:r>
        <w:rPr>
          <w:rStyle w:val="FootnoteReference"/>
        </w:rPr>
        <w:footnoteRef/>
      </w:r>
      <w:r>
        <w:t xml:space="preserve"> </w:t>
      </w:r>
      <w:r>
        <w:rPr>
          <w:lang w:val="en-US"/>
        </w:rPr>
        <w:t>Ibid</w:t>
      </w:r>
    </w:p>
  </w:footnote>
  <w:footnote w:id="22">
    <w:p w:rsidR="006E2D8B" w:rsidRPr="006E2D8B" w:rsidRDefault="006E2D8B" w:rsidP="006E2D8B">
      <w:pPr>
        <w:pStyle w:val="FootnoteText"/>
        <w:spacing w:before="0"/>
        <w:rPr>
          <w:lang w:val="en-US"/>
        </w:rPr>
      </w:pPr>
      <w:r>
        <w:rPr>
          <w:rStyle w:val="FootnoteReference"/>
        </w:rPr>
        <w:footnoteRef/>
      </w:r>
      <w:r>
        <w:t xml:space="preserve"> </w:t>
      </w:r>
      <w:r>
        <w:rPr>
          <w:lang w:val="en-US"/>
        </w:rPr>
        <w:t>Ibid</w:t>
      </w:r>
    </w:p>
  </w:footnote>
  <w:footnote w:id="23">
    <w:p w:rsidR="00C37693" w:rsidRPr="0024652B" w:rsidRDefault="00C37693" w:rsidP="002753FD">
      <w:pPr>
        <w:spacing w:line="240" w:lineRule="auto"/>
        <w:rPr>
          <w:rFonts w:cstheme="minorHAnsi"/>
          <w:sz w:val="20"/>
          <w:szCs w:val="20"/>
        </w:rPr>
      </w:pPr>
      <w:r w:rsidRPr="008605C2">
        <w:rPr>
          <w:rStyle w:val="FootnoteReference"/>
          <w:sz w:val="20"/>
          <w:szCs w:val="20"/>
        </w:rPr>
        <w:footnoteRef/>
      </w:r>
      <w:r w:rsidRPr="008605C2">
        <w:rPr>
          <w:sz w:val="20"/>
          <w:szCs w:val="20"/>
        </w:rPr>
        <w:t xml:space="preserve"> According to the UN Sustainable Development Goals Report 2022, “The proportion of the global population using safely managed drinking water services increased from 70 per cent in 2015 to 74 per cent in 2020. Still, 2 billion people were without such services that year, including 1.2 billion people lacking even a basic level of service. Eight out of 10 people who lack even basic drinking water service live in rural areas, and about half of them live in LDCs. At the current rate of progress, the world will reach 81 per cent coverage by 2030, missing the target and leaving 1.6 billion people without safely managed drinking water supplies</w:t>
      </w:r>
      <w:r w:rsidRPr="008605C2">
        <w:rPr>
          <w:sz w:val="20"/>
          <w:szCs w:val="20"/>
          <w:lang w:val="en-US"/>
        </w:rPr>
        <w:t xml:space="preserve">”, </w:t>
      </w:r>
      <w:hyperlink r:id="rId1" w:history="1">
        <w:r w:rsidRPr="008605C2">
          <w:rPr>
            <w:rStyle w:val="Hyperlink"/>
            <w:sz w:val="20"/>
            <w:szCs w:val="20"/>
            <w:lang w:val="en-US"/>
          </w:rPr>
          <w:t>https://unstats.un.org/sdgs/report/2022/The-Sustainable-Development-Goals-Report-2022.pdf</w:t>
        </w:r>
      </w:hyperlink>
      <w:r w:rsidRPr="008605C2">
        <w:rPr>
          <w:sz w:val="20"/>
          <w:szCs w:val="20"/>
          <w:lang w:val="en-US"/>
        </w:rPr>
        <w:t>, a</w:t>
      </w:r>
      <w:proofErr w:type="spellStart"/>
      <w:r w:rsidRPr="008605C2">
        <w:rPr>
          <w:color w:val="000000" w:themeColor="text1"/>
          <w:sz w:val="20"/>
          <w:szCs w:val="20"/>
        </w:rPr>
        <w:t>ccessed</w:t>
      </w:r>
      <w:proofErr w:type="spellEnd"/>
      <w:r w:rsidRPr="008605C2">
        <w:rPr>
          <w:color w:val="000000" w:themeColor="text1"/>
          <w:sz w:val="20"/>
          <w:szCs w:val="20"/>
        </w:rPr>
        <w:t xml:space="preserve"> 08.08.2022.</w:t>
      </w:r>
    </w:p>
  </w:footnote>
  <w:footnote w:id="24">
    <w:p w:rsidR="006E2D8B" w:rsidRPr="00C23168" w:rsidRDefault="006E2D8B" w:rsidP="00C23168">
      <w:pPr>
        <w:pStyle w:val="FootnoteText"/>
        <w:spacing w:before="0"/>
        <w:rPr>
          <w:rFonts w:cs="Times New Roman"/>
          <w:lang w:val="en-US"/>
        </w:rPr>
      </w:pPr>
      <w:r w:rsidRPr="00C23168">
        <w:rPr>
          <w:rStyle w:val="FootnoteReference"/>
          <w:rFonts w:ascii="Times New Roman" w:hAnsi="Times New Roman" w:cs="Times New Roman"/>
          <w:sz w:val="20"/>
        </w:rPr>
        <w:footnoteRef/>
      </w:r>
      <w:r w:rsidRPr="00C23168">
        <w:rPr>
          <w:rFonts w:cs="Times New Roman"/>
        </w:rPr>
        <w:t xml:space="preserve">See </w:t>
      </w:r>
      <w:proofErr w:type="spellStart"/>
      <w:r w:rsidRPr="00C23168">
        <w:rPr>
          <w:rFonts w:cs="Times New Roman"/>
        </w:rPr>
        <w:t>Hellum</w:t>
      </w:r>
      <w:proofErr w:type="spellEnd"/>
      <w:r w:rsidRPr="00C23168">
        <w:rPr>
          <w:rFonts w:cs="Times New Roman"/>
        </w:rPr>
        <w:t xml:space="preserve"> </w:t>
      </w:r>
      <w:r w:rsidRPr="00C23168">
        <w:rPr>
          <w:rFonts w:cs="Times New Roman"/>
          <w:i/>
        </w:rPr>
        <w:t>et al</w:t>
      </w:r>
      <w:r w:rsidR="000D325C" w:rsidRPr="00C23168">
        <w:rPr>
          <w:rFonts w:cs="Times New Roman"/>
        </w:rPr>
        <w:t xml:space="preserve">., </w:t>
      </w:r>
      <w:r w:rsidRPr="00C23168">
        <w:rPr>
          <w:rFonts w:cs="Times New Roman"/>
        </w:rPr>
        <w:t>2015</w:t>
      </w:r>
    </w:p>
  </w:footnote>
  <w:footnote w:id="25">
    <w:p w:rsidR="00231A25" w:rsidRPr="00C23168" w:rsidRDefault="00231A25" w:rsidP="00C23168">
      <w:pPr>
        <w:pStyle w:val="FootnoteText"/>
        <w:spacing w:before="0"/>
        <w:rPr>
          <w:rFonts w:cs="Times New Roman"/>
        </w:rPr>
      </w:pPr>
      <w:r w:rsidRPr="00C23168">
        <w:rPr>
          <w:rStyle w:val="FootnoteReference"/>
          <w:rFonts w:ascii="Times New Roman" w:hAnsi="Times New Roman" w:cs="Times New Roman"/>
          <w:sz w:val="20"/>
        </w:rPr>
        <w:footnoteRef/>
      </w:r>
      <w:r w:rsidRPr="00C23168">
        <w:rPr>
          <w:rFonts w:cs="Times New Roman"/>
        </w:rPr>
        <w:t xml:space="preserve">Protocol to the African Charter on the Rights of Women in Africa was adopted by the OAU in </w:t>
      </w:r>
    </w:p>
    <w:p w:rsidR="00231A25" w:rsidRPr="00C23168" w:rsidRDefault="00231A25" w:rsidP="00C23168">
      <w:pPr>
        <w:pStyle w:val="FootnoteText"/>
        <w:spacing w:before="0"/>
        <w:ind w:left="0" w:firstLine="0"/>
        <w:rPr>
          <w:rFonts w:cs="Times New Roman"/>
          <w:lang w:val="en-US"/>
        </w:rPr>
      </w:pPr>
      <w:r w:rsidRPr="00C23168">
        <w:rPr>
          <w:rFonts w:cs="Times New Roman"/>
        </w:rPr>
        <w:t>1995</w:t>
      </w:r>
    </w:p>
  </w:footnote>
  <w:footnote w:id="26">
    <w:p w:rsidR="00231A25" w:rsidRPr="00C23168" w:rsidRDefault="00231A25" w:rsidP="00C23168">
      <w:pPr>
        <w:pStyle w:val="FootnoteText"/>
        <w:spacing w:before="0"/>
        <w:rPr>
          <w:rFonts w:cs="Times New Roman"/>
          <w:lang w:val="en-US"/>
        </w:rPr>
      </w:pPr>
      <w:r w:rsidRPr="00C23168">
        <w:rPr>
          <w:rStyle w:val="FootnoteReference"/>
          <w:rFonts w:ascii="Times New Roman" w:hAnsi="Times New Roman" w:cs="Times New Roman"/>
          <w:sz w:val="20"/>
        </w:rPr>
        <w:footnoteRef/>
      </w:r>
      <w:r w:rsidRPr="00C23168">
        <w:rPr>
          <w:rFonts w:cs="Times New Roman"/>
          <w:lang w:val="en-US"/>
        </w:rPr>
        <w:t>Ibid article</w:t>
      </w:r>
      <w:r w:rsidRPr="00C23168">
        <w:rPr>
          <w:rFonts w:cs="Times New Roman"/>
        </w:rPr>
        <w:t xml:space="preserve"> 15</w:t>
      </w:r>
    </w:p>
  </w:footnote>
  <w:footnote w:id="27">
    <w:p w:rsidR="00231A25" w:rsidRPr="00231A25" w:rsidRDefault="00231A25" w:rsidP="00C23168">
      <w:pPr>
        <w:pStyle w:val="FootnoteText"/>
        <w:rPr>
          <w:lang w:val="en-US"/>
        </w:rPr>
      </w:pPr>
      <w:r w:rsidRPr="00C23168">
        <w:rPr>
          <w:rStyle w:val="FootnoteReference"/>
          <w:rFonts w:ascii="Times New Roman" w:hAnsi="Times New Roman" w:cs="Times New Roman"/>
          <w:sz w:val="20"/>
        </w:rPr>
        <w:footnoteRef/>
      </w:r>
      <w:r w:rsidRPr="00C23168">
        <w:rPr>
          <w:rFonts w:cs="Times New Roman"/>
        </w:rPr>
        <w:t>See</w:t>
      </w:r>
      <w:r>
        <w:t xml:space="preserve"> </w:t>
      </w:r>
      <w:proofErr w:type="spellStart"/>
      <w:r w:rsidR="000D325C">
        <w:t>Hellum</w:t>
      </w:r>
      <w:proofErr w:type="spellEnd"/>
      <w:r w:rsidR="000D325C">
        <w:t xml:space="preserve">, </w:t>
      </w:r>
      <w:proofErr w:type="spellStart"/>
      <w:r w:rsidR="000D325C">
        <w:t>Ikdahl</w:t>
      </w:r>
      <w:proofErr w:type="spellEnd"/>
      <w:r w:rsidR="000D325C">
        <w:t xml:space="preserve"> &amp;</w:t>
      </w:r>
      <w:r w:rsidRPr="007450E6">
        <w:t xml:space="preserve"> </w:t>
      </w:r>
      <w:proofErr w:type="spellStart"/>
      <w:r w:rsidRPr="007450E6">
        <w:t>Kameri-Mbote</w:t>
      </w:r>
      <w:proofErr w:type="spellEnd"/>
      <w:r w:rsidRPr="007450E6">
        <w:t>, 2015</w:t>
      </w:r>
      <w:r w:rsidR="000D325C">
        <w:t xml:space="preserve">, p </w:t>
      </w:r>
      <w:r w:rsidRPr="007450E6">
        <w:t>44</w:t>
      </w:r>
    </w:p>
  </w:footnote>
  <w:footnote w:id="28">
    <w:p w:rsidR="000D325C" w:rsidRDefault="000D325C">
      <w:pPr>
        <w:pStyle w:val="FootnoteText"/>
      </w:pPr>
      <w:r>
        <w:rPr>
          <w:rStyle w:val="FootnoteReference"/>
        </w:rPr>
        <w:footnoteRef/>
      </w:r>
      <w:r>
        <w:t xml:space="preserve"> See Sustainable Development Goals (SDG) 6</w:t>
      </w:r>
    </w:p>
    <w:p w:rsidR="000D325C" w:rsidRPr="00E34236" w:rsidRDefault="00F240BF" w:rsidP="00E34236">
      <w:pPr>
        <w:spacing w:line="240" w:lineRule="auto"/>
        <w:rPr>
          <w:rFonts w:cstheme="minorHAnsi"/>
          <w:sz w:val="20"/>
          <w:szCs w:val="20"/>
        </w:rPr>
      </w:pPr>
      <w:hyperlink r:id="rId2" w:history="1">
        <w:r w:rsidR="000D325C" w:rsidRPr="00CB3A5B">
          <w:rPr>
            <w:rStyle w:val="Hyperlink"/>
            <w:rFonts w:cstheme="minorHAnsi"/>
            <w:sz w:val="20"/>
            <w:szCs w:val="20"/>
          </w:rPr>
          <w:t>https://www.un.org/sustainabledevelopment/water-and-sanitation/</w:t>
        </w:r>
      </w:hyperlink>
      <w:r w:rsidR="000D325C">
        <w:rPr>
          <w:rFonts w:cstheme="minorHAnsi"/>
          <w:sz w:val="20"/>
          <w:szCs w:val="20"/>
        </w:rPr>
        <w:t xml:space="preserve"> accessed on 16.08.2022</w:t>
      </w:r>
    </w:p>
  </w:footnote>
  <w:footnote w:id="29">
    <w:p w:rsidR="00E34236" w:rsidRDefault="000D325C" w:rsidP="00E34236">
      <w:pPr>
        <w:spacing w:line="240" w:lineRule="auto"/>
        <w:rPr>
          <w:sz w:val="20"/>
          <w:szCs w:val="20"/>
        </w:rPr>
      </w:pPr>
      <w:r>
        <w:rPr>
          <w:rStyle w:val="FootnoteReference"/>
        </w:rPr>
        <w:footnoteRef/>
      </w:r>
      <w:r>
        <w:t xml:space="preserve"> </w:t>
      </w:r>
      <w:r w:rsidRPr="000D325C">
        <w:rPr>
          <w:sz w:val="20"/>
          <w:szCs w:val="20"/>
        </w:rPr>
        <w:t>Pacific Institute 2021 Annual Review, June 2022</w:t>
      </w:r>
    </w:p>
    <w:p w:rsidR="000D325C" w:rsidRPr="00E34236" w:rsidRDefault="00F240BF" w:rsidP="00E34236">
      <w:pPr>
        <w:spacing w:line="240" w:lineRule="auto"/>
        <w:rPr>
          <w:sz w:val="20"/>
          <w:szCs w:val="20"/>
        </w:rPr>
      </w:pPr>
      <w:hyperlink r:id="rId3" w:history="1">
        <w:r w:rsidR="00E34236" w:rsidRPr="00CB3A5B">
          <w:rPr>
            <w:rStyle w:val="Hyperlink"/>
            <w:sz w:val="20"/>
            <w:szCs w:val="20"/>
            <w:lang w:val="en-US"/>
          </w:rPr>
          <w:t>https://pacinst.org/publication/pacific-institute-2021-annual-review/</w:t>
        </w:r>
      </w:hyperlink>
      <w:r w:rsidR="00E34236">
        <w:rPr>
          <w:sz w:val="20"/>
          <w:szCs w:val="20"/>
          <w:lang w:val="en-US"/>
        </w:rPr>
        <w:t xml:space="preserve"> accessed on 16.08.2022</w:t>
      </w:r>
    </w:p>
  </w:footnote>
  <w:footnote w:id="30">
    <w:p w:rsidR="00E34236" w:rsidRPr="00E34236" w:rsidRDefault="00E34236">
      <w:pPr>
        <w:pStyle w:val="FootnoteText"/>
        <w:rPr>
          <w:lang w:val="en-US"/>
        </w:rPr>
      </w:pPr>
      <w:r>
        <w:rPr>
          <w:rStyle w:val="FootnoteReference"/>
        </w:rPr>
        <w:footnoteRef/>
      </w:r>
      <w:r>
        <w:t xml:space="preserve"> </w:t>
      </w:r>
      <w:r w:rsidRPr="007450E6">
        <w:t>Pacific Institute, 2018</w:t>
      </w:r>
      <w:r>
        <w:t>.</w:t>
      </w:r>
    </w:p>
  </w:footnote>
  <w:footnote w:id="31">
    <w:p w:rsidR="00E34236" w:rsidRPr="00E34236" w:rsidRDefault="00E34236" w:rsidP="002A67BA">
      <w:pPr>
        <w:pStyle w:val="FootnoteText"/>
        <w:spacing w:before="0"/>
        <w:rPr>
          <w:lang w:val="en-US"/>
        </w:rPr>
      </w:pPr>
      <w:r>
        <w:rPr>
          <w:rStyle w:val="FootnoteReference"/>
        </w:rPr>
        <w:footnoteRef/>
      </w:r>
      <w:r>
        <w:t xml:space="preserve"> </w:t>
      </w:r>
      <w:r w:rsidRPr="007450E6">
        <w:t xml:space="preserve">Levy and </w:t>
      </w:r>
      <w:proofErr w:type="spellStart"/>
      <w:r w:rsidRPr="007450E6">
        <w:t>Sidel</w:t>
      </w:r>
      <w:proofErr w:type="spellEnd"/>
      <w:r w:rsidRPr="007450E6">
        <w:t>, 2011</w:t>
      </w:r>
    </w:p>
  </w:footnote>
  <w:footnote w:id="32">
    <w:p w:rsidR="00E34236" w:rsidRPr="00E34236" w:rsidRDefault="00E34236" w:rsidP="002A67BA">
      <w:pPr>
        <w:pStyle w:val="FootnoteText"/>
        <w:spacing w:before="0"/>
        <w:rPr>
          <w:lang w:val="en-US"/>
        </w:rPr>
      </w:pPr>
      <w:r>
        <w:rPr>
          <w:rStyle w:val="FootnoteReference"/>
        </w:rPr>
        <w:footnoteRef/>
      </w:r>
      <w:r>
        <w:t xml:space="preserve"> </w:t>
      </w:r>
      <w:r>
        <w:rPr>
          <w:lang w:val="en-US"/>
        </w:rPr>
        <w:t>Ibid</w:t>
      </w:r>
    </w:p>
  </w:footnote>
  <w:footnote w:id="33">
    <w:p w:rsidR="00FE40F1" w:rsidRPr="00FE40F1" w:rsidRDefault="00FE40F1" w:rsidP="002A67BA">
      <w:pPr>
        <w:pStyle w:val="FootnoteText"/>
        <w:spacing w:before="0"/>
        <w:rPr>
          <w:lang w:val="en-US"/>
        </w:rPr>
      </w:pPr>
      <w:r>
        <w:rPr>
          <w:rStyle w:val="FootnoteReference"/>
        </w:rPr>
        <w:footnoteRef/>
      </w:r>
      <w:r>
        <w:t xml:space="preserve"> </w:t>
      </w:r>
      <w:r w:rsidRPr="007450E6">
        <w:t>Boutros Boutros</w:t>
      </w:r>
      <w:r>
        <w:t>-</w:t>
      </w:r>
      <w:r w:rsidRPr="007450E6">
        <w:t xml:space="preserve">Ghali </w:t>
      </w:r>
      <w:r>
        <w:t xml:space="preserve">address to the </w:t>
      </w:r>
      <w:r w:rsidRPr="007450E6">
        <w:t>United Nations University, 2011</w:t>
      </w:r>
      <w:r>
        <w:t>.</w:t>
      </w:r>
    </w:p>
  </w:footnote>
  <w:footnote w:id="34">
    <w:p w:rsidR="00FE40F1" w:rsidRPr="00FE40F1" w:rsidRDefault="00FE40F1" w:rsidP="002A67BA">
      <w:pPr>
        <w:pStyle w:val="FootnoteText"/>
        <w:spacing w:before="0"/>
        <w:rPr>
          <w:lang w:val="en-US"/>
        </w:rPr>
      </w:pPr>
      <w:r>
        <w:rPr>
          <w:rStyle w:val="FootnoteReference"/>
        </w:rPr>
        <w:footnoteRef/>
      </w:r>
      <w:r>
        <w:t xml:space="preserve"> See </w:t>
      </w:r>
      <w:r w:rsidRPr="007450E6">
        <w:t>Pearce, 2014</w:t>
      </w:r>
      <w:r>
        <w:t>, 1</w:t>
      </w:r>
    </w:p>
  </w:footnote>
  <w:footnote w:id="35">
    <w:p w:rsidR="002A67BA" w:rsidRPr="007450E6" w:rsidRDefault="002A67BA" w:rsidP="002A67BA">
      <w:pPr>
        <w:spacing w:line="240" w:lineRule="auto"/>
      </w:pPr>
      <w:r>
        <w:rPr>
          <w:rStyle w:val="FootnoteReference"/>
        </w:rPr>
        <w:footnoteRef/>
      </w:r>
      <w:r>
        <w:t xml:space="preserve"> </w:t>
      </w:r>
      <w:r w:rsidRPr="002A67BA">
        <w:rPr>
          <w:sz w:val="20"/>
          <w:szCs w:val="20"/>
        </w:rPr>
        <w:t>Pearce, ibid</w:t>
      </w:r>
      <w:r>
        <w:rPr>
          <w:sz w:val="20"/>
          <w:szCs w:val="20"/>
        </w:rPr>
        <w:t>.</w:t>
      </w:r>
    </w:p>
    <w:p w:rsidR="002A67BA" w:rsidRPr="002A67BA" w:rsidRDefault="002A67BA">
      <w:pPr>
        <w:pStyle w:val="FootnoteText"/>
        <w:rPr>
          <w:lang w:val="en-US"/>
        </w:rPr>
      </w:pP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650"/>
      <w:gridCol w:w="2650"/>
      <w:gridCol w:w="2649"/>
    </w:tblGrid>
    <w:tr w:rsidR="005F28BC">
      <w:trPr>
        <w:trHeight w:val="720"/>
      </w:trPr>
      <w:tc>
        <w:tcPr>
          <w:tcW w:w="1667" w:type="pct"/>
        </w:tcPr>
        <w:p w:rsidR="005F28BC" w:rsidRDefault="005F28BC">
          <w:pPr>
            <w:pStyle w:val="Header"/>
            <w:rPr>
              <w:color w:val="4F81BD" w:themeColor="accent1"/>
            </w:rPr>
          </w:pPr>
        </w:p>
      </w:tc>
      <w:tc>
        <w:tcPr>
          <w:tcW w:w="1667" w:type="pct"/>
        </w:tcPr>
        <w:p w:rsidR="005F28BC" w:rsidRDefault="005F28BC">
          <w:pPr>
            <w:pStyle w:val="Header"/>
            <w:jc w:val="center"/>
            <w:rPr>
              <w:color w:val="4F81BD" w:themeColor="accent1"/>
            </w:rPr>
          </w:pPr>
        </w:p>
      </w:tc>
      <w:tc>
        <w:tcPr>
          <w:tcW w:w="1666" w:type="pct"/>
        </w:tcPr>
        <w:p w:rsidR="005F28BC" w:rsidRDefault="005F28BC">
          <w:pPr>
            <w:pStyle w:val="Header"/>
            <w:jc w:val="right"/>
            <w:rPr>
              <w:color w:val="4F81BD" w:themeColor="accent1"/>
            </w:rPr>
          </w:pPr>
          <w:r>
            <w:rPr>
              <w:color w:val="4F81BD" w:themeColor="accent1"/>
              <w:szCs w:val="24"/>
            </w:rPr>
            <w:fldChar w:fldCharType="begin"/>
          </w:r>
          <w:r>
            <w:rPr>
              <w:color w:val="4F81BD" w:themeColor="accent1"/>
              <w:szCs w:val="24"/>
            </w:rPr>
            <w:instrText xml:space="preserve"> PAGE   \* MERGEFORMAT </w:instrText>
          </w:r>
          <w:r>
            <w:rPr>
              <w:color w:val="4F81BD" w:themeColor="accent1"/>
              <w:szCs w:val="24"/>
            </w:rPr>
            <w:fldChar w:fldCharType="separate"/>
          </w:r>
          <w:r>
            <w:rPr>
              <w:noProof/>
              <w:color w:val="4F81BD" w:themeColor="accent1"/>
              <w:szCs w:val="24"/>
            </w:rPr>
            <w:t>2</w:t>
          </w:r>
          <w:r>
            <w:rPr>
              <w:color w:val="4F81BD" w:themeColor="accent1"/>
              <w:szCs w:val="24"/>
            </w:rPr>
            <w:fldChar w:fldCharType="end"/>
          </w:r>
        </w:p>
      </w:tc>
    </w:tr>
  </w:tbl>
  <w:p w:rsidR="005F28BC" w:rsidRDefault="005F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BC" w:rsidRDefault="002643BC">
    <w:pPr>
      <w:pStyle w:val="Header"/>
    </w:pPr>
    <w:r>
      <w:rPr>
        <w:noProof/>
        <w:lang w:eastAsia="en-GB"/>
      </w:rPr>
      <mc:AlternateContent>
        <mc:Choice Requires="wps">
          <w:drawing>
            <wp:anchor distT="0" distB="0" distL="114300" distR="114300" simplePos="0" relativeHeight="251660288" behindDoc="0" locked="0" layoutInCell="0" allowOverlap="1" wp14:anchorId="5B2F7216" wp14:editId="463898A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BC" w:rsidRDefault="0041523E" w:rsidP="002643BC">
                          <w:pPr>
                            <w:spacing w:line="240" w:lineRule="auto"/>
                            <w:jc w:val="center"/>
                          </w:pPr>
                          <w:r>
                            <w:rPr>
                              <w:sz w:val="20"/>
                              <w:szCs w:val="20"/>
                            </w:rPr>
                            <w:t xml:space="preserve">B. Andreassen: </w:t>
                          </w:r>
                          <w:r w:rsidR="002643BC" w:rsidRPr="002643BC">
                            <w:rPr>
                              <w:sz w:val="20"/>
                              <w:szCs w:val="20"/>
                            </w:rPr>
                            <w:t>No Water, No Life</w:t>
                          </w:r>
                          <w:r>
                            <w:rPr>
                              <w:sz w:val="20"/>
                              <w:szCs w:val="20"/>
                            </w:rPr>
                            <w:t>-</w:t>
                          </w:r>
                          <w:r w:rsidR="002643BC" w:rsidRPr="002643BC">
                            <w:rPr>
                              <w:sz w:val="20"/>
                              <w:szCs w:val="20"/>
                            </w:rPr>
                            <w:t xml:space="preserve">On the Basic </w:t>
                          </w:r>
                          <w:r w:rsidR="002643BC">
                            <w:rPr>
                              <w:sz w:val="20"/>
                              <w:szCs w:val="20"/>
                            </w:rPr>
                            <w:t xml:space="preserve">Human </w:t>
                          </w:r>
                          <w:r w:rsidR="002643BC" w:rsidRPr="002643BC">
                            <w:rPr>
                              <w:sz w:val="20"/>
                              <w:szCs w:val="20"/>
                            </w:rPr>
                            <w:t>Right to Water</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2F7216"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643BC" w:rsidRDefault="0041523E" w:rsidP="002643BC">
                    <w:pPr>
                      <w:spacing w:line="240" w:lineRule="auto"/>
                      <w:jc w:val="center"/>
                    </w:pPr>
                    <w:r>
                      <w:rPr>
                        <w:sz w:val="20"/>
                        <w:szCs w:val="20"/>
                      </w:rPr>
                      <w:t xml:space="preserve">B. Andreassen: </w:t>
                    </w:r>
                    <w:r w:rsidR="002643BC" w:rsidRPr="002643BC">
                      <w:rPr>
                        <w:sz w:val="20"/>
                        <w:szCs w:val="20"/>
                      </w:rPr>
                      <w:t>No Water, No Life</w:t>
                    </w:r>
                    <w:r>
                      <w:rPr>
                        <w:sz w:val="20"/>
                        <w:szCs w:val="20"/>
                      </w:rPr>
                      <w:t>-</w:t>
                    </w:r>
                    <w:r w:rsidR="002643BC" w:rsidRPr="002643BC">
                      <w:rPr>
                        <w:sz w:val="20"/>
                        <w:szCs w:val="20"/>
                      </w:rPr>
                      <w:t xml:space="preserve">On the Basic </w:t>
                    </w:r>
                    <w:r w:rsidR="002643BC">
                      <w:rPr>
                        <w:sz w:val="20"/>
                        <w:szCs w:val="20"/>
                      </w:rPr>
                      <w:t xml:space="preserve">Human </w:t>
                    </w:r>
                    <w:r w:rsidR="002643BC" w:rsidRPr="002643BC">
                      <w:rPr>
                        <w:sz w:val="20"/>
                        <w:szCs w:val="20"/>
                      </w:rPr>
                      <w:t>Right to Water</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anchorId="0445E0CB" wp14:editId="07CD8B3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643BC" w:rsidRPr="0041523E" w:rsidRDefault="002643BC">
                          <w:pPr>
                            <w:spacing w:line="240" w:lineRule="auto"/>
                            <w:jc w:val="right"/>
                            <w:rPr>
                              <w:color w:val="FFFFFF" w:themeColor="background1"/>
                              <w:sz w:val="20"/>
                              <w:szCs w:val="20"/>
                            </w:rPr>
                          </w:pPr>
                          <w:r w:rsidRPr="0041523E">
                            <w:rPr>
                              <w:sz w:val="20"/>
                              <w:szCs w:val="20"/>
                            </w:rPr>
                            <w:fldChar w:fldCharType="begin"/>
                          </w:r>
                          <w:r w:rsidRPr="0041523E">
                            <w:rPr>
                              <w:sz w:val="20"/>
                              <w:szCs w:val="20"/>
                            </w:rPr>
                            <w:instrText xml:space="preserve"> PAGE   \* MERGEFORMAT </w:instrText>
                          </w:r>
                          <w:r w:rsidRPr="0041523E">
                            <w:rPr>
                              <w:sz w:val="20"/>
                              <w:szCs w:val="20"/>
                            </w:rPr>
                            <w:fldChar w:fldCharType="separate"/>
                          </w:r>
                          <w:r w:rsidR="00032488" w:rsidRPr="00032488">
                            <w:rPr>
                              <w:noProof/>
                              <w:color w:val="FFFFFF" w:themeColor="background1"/>
                              <w:sz w:val="20"/>
                              <w:szCs w:val="20"/>
                            </w:rPr>
                            <w:t>21</w:t>
                          </w:r>
                          <w:r w:rsidRPr="0041523E">
                            <w:rPr>
                              <w:noProof/>
                              <w:color w:val="FFFFFF" w:themeColor="background1"/>
                              <w:sz w:val="20"/>
                              <w:szCs w:val="20"/>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445E0C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643BC" w:rsidRPr="0041523E" w:rsidRDefault="002643BC">
                    <w:pPr>
                      <w:spacing w:line="240" w:lineRule="auto"/>
                      <w:jc w:val="right"/>
                      <w:rPr>
                        <w:color w:val="FFFFFF" w:themeColor="background1"/>
                        <w:sz w:val="20"/>
                        <w:szCs w:val="20"/>
                      </w:rPr>
                    </w:pPr>
                    <w:r w:rsidRPr="0041523E">
                      <w:rPr>
                        <w:sz w:val="20"/>
                        <w:szCs w:val="20"/>
                      </w:rPr>
                      <w:fldChar w:fldCharType="begin"/>
                    </w:r>
                    <w:r w:rsidRPr="0041523E">
                      <w:rPr>
                        <w:sz w:val="20"/>
                        <w:szCs w:val="20"/>
                      </w:rPr>
                      <w:instrText xml:space="preserve"> PAGE   \* MERGEFORMAT </w:instrText>
                    </w:r>
                    <w:r w:rsidRPr="0041523E">
                      <w:rPr>
                        <w:sz w:val="20"/>
                        <w:szCs w:val="20"/>
                      </w:rPr>
                      <w:fldChar w:fldCharType="separate"/>
                    </w:r>
                    <w:r w:rsidR="00032488" w:rsidRPr="00032488">
                      <w:rPr>
                        <w:noProof/>
                        <w:color w:val="FFFFFF" w:themeColor="background1"/>
                        <w:sz w:val="20"/>
                        <w:szCs w:val="20"/>
                      </w:rPr>
                      <w:t>21</w:t>
                    </w:r>
                    <w:r w:rsidRPr="0041523E">
                      <w:rPr>
                        <w:noProof/>
                        <w:color w:val="FFFFFF" w:themeColor="background1"/>
                        <w:sz w:val="20"/>
                        <w:szCs w:val="20"/>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409"/>
    <w:multiLevelType w:val="hybridMultilevel"/>
    <w:tmpl w:val="D4928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9967B9"/>
    <w:multiLevelType w:val="hybridMultilevel"/>
    <w:tmpl w:val="5120A866"/>
    <w:lvl w:ilvl="0" w:tplc="F6A49F28">
      <w:start w:val="1"/>
      <w:numFmt w:val="decimal"/>
      <w:lvlText w:val="%1."/>
      <w:lvlJc w:val="left"/>
      <w:pPr>
        <w:ind w:left="1800" w:hanging="360"/>
      </w:pPr>
      <w:rPr>
        <w:rFonts w:hint="default"/>
        <w:b/>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45C715EA"/>
    <w:multiLevelType w:val="hybridMultilevel"/>
    <w:tmpl w:val="7556D7B0"/>
    <w:lvl w:ilvl="0" w:tplc="A732CDD2">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0F0609"/>
    <w:multiLevelType w:val="hybridMultilevel"/>
    <w:tmpl w:val="6032B7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E6555F8"/>
    <w:multiLevelType w:val="hybridMultilevel"/>
    <w:tmpl w:val="4EB4AE28"/>
    <w:lvl w:ilvl="0" w:tplc="C37030A8">
      <w:start w:val="1"/>
      <w:numFmt w:val="bullet"/>
      <w:pStyle w:val="Hanging"/>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nsid w:val="6FF84648"/>
    <w:multiLevelType w:val="hybridMultilevel"/>
    <w:tmpl w:val="2AA8E4C6"/>
    <w:lvl w:ilvl="0" w:tplc="88268558">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zsTA3MjQ1MjEwNjdU0lEKTi0uzszPAykwrAUAJZ5XcSwAAAA="/>
  </w:docVars>
  <w:rsids>
    <w:rsidRoot w:val="007C57B9"/>
    <w:rsid w:val="00002C41"/>
    <w:rsid w:val="00010C06"/>
    <w:rsid w:val="00032488"/>
    <w:rsid w:val="00032FB1"/>
    <w:rsid w:val="000360A4"/>
    <w:rsid w:val="00045A54"/>
    <w:rsid w:val="000472F4"/>
    <w:rsid w:val="00050541"/>
    <w:rsid w:val="00056CA0"/>
    <w:rsid w:val="000623E6"/>
    <w:rsid w:val="00065131"/>
    <w:rsid w:val="00072659"/>
    <w:rsid w:val="00093AB2"/>
    <w:rsid w:val="000A05E5"/>
    <w:rsid w:val="000A15C7"/>
    <w:rsid w:val="000A75B3"/>
    <w:rsid w:val="000A7926"/>
    <w:rsid w:val="000B3447"/>
    <w:rsid w:val="000B7109"/>
    <w:rsid w:val="000C356F"/>
    <w:rsid w:val="000D1BFA"/>
    <w:rsid w:val="000D26BA"/>
    <w:rsid w:val="000D325C"/>
    <w:rsid w:val="000D33CB"/>
    <w:rsid w:val="000E0A17"/>
    <w:rsid w:val="000E580A"/>
    <w:rsid w:val="000F1441"/>
    <w:rsid w:val="000F1503"/>
    <w:rsid w:val="000F219C"/>
    <w:rsid w:val="000F39D4"/>
    <w:rsid w:val="00101CBF"/>
    <w:rsid w:val="00105DBC"/>
    <w:rsid w:val="00107253"/>
    <w:rsid w:val="00110758"/>
    <w:rsid w:val="00110BFB"/>
    <w:rsid w:val="0011784F"/>
    <w:rsid w:val="00120017"/>
    <w:rsid w:val="00122045"/>
    <w:rsid w:val="001240DE"/>
    <w:rsid w:val="0013273B"/>
    <w:rsid w:val="00136EEE"/>
    <w:rsid w:val="0014565C"/>
    <w:rsid w:val="00152F9B"/>
    <w:rsid w:val="0016039B"/>
    <w:rsid w:val="00161917"/>
    <w:rsid w:val="0016222A"/>
    <w:rsid w:val="0016319F"/>
    <w:rsid w:val="0016359A"/>
    <w:rsid w:val="00164607"/>
    <w:rsid w:val="00182C66"/>
    <w:rsid w:val="00196B7E"/>
    <w:rsid w:val="001A2694"/>
    <w:rsid w:val="001A35D5"/>
    <w:rsid w:val="001B0492"/>
    <w:rsid w:val="001B0E31"/>
    <w:rsid w:val="001B7043"/>
    <w:rsid w:val="001C0C09"/>
    <w:rsid w:val="001C2A83"/>
    <w:rsid w:val="001C44B4"/>
    <w:rsid w:val="001C5F0A"/>
    <w:rsid w:val="001E6BBB"/>
    <w:rsid w:val="001F092C"/>
    <w:rsid w:val="001F52EB"/>
    <w:rsid w:val="00201227"/>
    <w:rsid w:val="00214BEA"/>
    <w:rsid w:val="00216D3F"/>
    <w:rsid w:val="00220ECB"/>
    <w:rsid w:val="002231DA"/>
    <w:rsid w:val="0022551F"/>
    <w:rsid w:val="00230E46"/>
    <w:rsid w:val="00231A25"/>
    <w:rsid w:val="0024299C"/>
    <w:rsid w:val="002453A9"/>
    <w:rsid w:val="00246B3D"/>
    <w:rsid w:val="00253570"/>
    <w:rsid w:val="00254557"/>
    <w:rsid w:val="00260700"/>
    <w:rsid w:val="002630AD"/>
    <w:rsid w:val="002643BC"/>
    <w:rsid w:val="002657E7"/>
    <w:rsid w:val="00265F0A"/>
    <w:rsid w:val="00267031"/>
    <w:rsid w:val="002713D0"/>
    <w:rsid w:val="0027142E"/>
    <w:rsid w:val="00272B45"/>
    <w:rsid w:val="002753FD"/>
    <w:rsid w:val="002805CE"/>
    <w:rsid w:val="00282F12"/>
    <w:rsid w:val="0028668F"/>
    <w:rsid w:val="0028752E"/>
    <w:rsid w:val="002A51FA"/>
    <w:rsid w:val="002A67BA"/>
    <w:rsid w:val="002B4934"/>
    <w:rsid w:val="002B4CFF"/>
    <w:rsid w:val="002C7E67"/>
    <w:rsid w:val="002D3CDA"/>
    <w:rsid w:val="002D4D23"/>
    <w:rsid w:val="002D675D"/>
    <w:rsid w:val="002E26ED"/>
    <w:rsid w:val="002F4482"/>
    <w:rsid w:val="0030115D"/>
    <w:rsid w:val="00301EE5"/>
    <w:rsid w:val="00304BEC"/>
    <w:rsid w:val="00306BC9"/>
    <w:rsid w:val="003078B3"/>
    <w:rsid w:val="00310EF3"/>
    <w:rsid w:val="00313E5F"/>
    <w:rsid w:val="003162B9"/>
    <w:rsid w:val="00317B71"/>
    <w:rsid w:val="00320D7C"/>
    <w:rsid w:val="00324EB1"/>
    <w:rsid w:val="003321ED"/>
    <w:rsid w:val="003326D1"/>
    <w:rsid w:val="00340706"/>
    <w:rsid w:val="00344F2A"/>
    <w:rsid w:val="00351C91"/>
    <w:rsid w:val="0035370A"/>
    <w:rsid w:val="00367B2D"/>
    <w:rsid w:val="0037052E"/>
    <w:rsid w:val="00383B2B"/>
    <w:rsid w:val="003878A0"/>
    <w:rsid w:val="00395289"/>
    <w:rsid w:val="00395D6C"/>
    <w:rsid w:val="00395EB8"/>
    <w:rsid w:val="00397696"/>
    <w:rsid w:val="003A31C4"/>
    <w:rsid w:val="003A3F2F"/>
    <w:rsid w:val="003A7A52"/>
    <w:rsid w:val="003B53A6"/>
    <w:rsid w:val="003B63AA"/>
    <w:rsid w:val="003B68D0"/>
    <w:rsid w:val="003D0FDF"/>
    <w:rsid w:val="003D216D"/>
    <w:rsid w:val="003D21C1"/>
    <w:rsid w:val="003D38F6"/>
    <w:rsid w:val="003D3981"/>
    <w:rsid w:val="003D5B71"/>
    <w:rsid w:val="003D6E72"/>
    <w:rsid w:val="003E209F"/>
    <w:rsid w:val="003E3B8C"/>
    <w:rsid w:val="003F14D8"/>
    <w:rsid w:val="003F3B3B"/>
    <w:rsid w:val="003F4B2B"/>
    <w:rsid w:val="003F6A6C"/>
    <w:rsid w:val="00400221"/>
    <w:rsid w:val="004068B6"/>
    <w:rsid w:val="0041523E"/>
    <w:rsid w:val="00415964"/>
    <w:rsid w:val="0043095E"/>
    <w:rsid w:val="00434067"/>
    <w:rsid w:val="00436493"/>
    <w:rsid w:val="00443B54"/>
    <w:rsid w:val="00446923"/>
    <w:rsid w:val="00455155"/>
    <w:rsid w:val="0045612A"/>
    <w:rsid w:val="00462CCC"/>
    <w:rsid w:val="00464D51"/>
    <w:rsid w:val="00473A1B"/>
    <w:rsid w:val="00476AE9"/>
    <w:rsid w:val="00481D5C"/>
    <w:rsid w:val="00485680"/>
    <w:rsid w:val="004A21A7"/>
    <w:rsid w:val="004A5D6F"/>
    <w:rsid w:val="004A62B4"/>
    <w:rsid w:val="004C30A1"/>
    <w:rsid w:val="004C32C2"/>
    <w:rsid w:val="004E0836"/>
    <w:rsid w:val="004E2568"/>
    <w:rsid w:val="004E5667"/>
    <w:rsid w:val="004F0CB8"/>
    <w:rsid w:val="004F5210"/>
    <w:rsid w:val="004F6363"/>
    <w:rsid w:val="00500369"/>
    <w:rsid w:val="00502EE0"/>
    <w:rsid w:val="005040F8"/>
    <w:rsid w:val="00506509"/>
    <w:rsid w:val="0050736D"/>
    <w:rsid w:val="00510151"/>
    <w:rsid w:val="00511962"/>
    <w:rsid w:val="00514038"/>
    <w:rsid w:val="005232FA"/>
    <w:rsid w:val="00525C7A"/>
    <w:rsid w:val="005275D2"/>
    <w:rsid w:val="00531A53"/>
    <w:rsid w:val="005369B3"/>
    <w:rsid w:val="00544C44"/>
    <w:rsid w:val="00547848"/>
    <w:rsid w:val="0055405B"/>
    <w:rsid w:val="00555E3B"/>
    <w:rsid w:val="00556118"/>
    <w:rsid w:val="00566297"/>
    <w:rsid w:val="00567914"/>
    <w:rsid w:val="00567BB7"/>
    <w:rsid w:val="00567F2D"/>
    <w:rsid w:val="00577D68"/>
    <w:rsid w:val="00580D23"/>
    <w:rsid w:val="005939EC"/>
    <w:rsid w:val="00593C0A"/>
    <w:rsid w:val="00594C85"/>
    <w:rsid w:val="005A095E"/>
    <w:rsid w:val="005A255F"/>
    <w:rsid w:val="005A26C3"/>
    <w:rsid w:val="005A4B28"/>
    <w:rsid w:val="005C33CF"/>
    <w:rsid w:val="005D2F93"/>
    <w:rsid w:val="005E0D6D"/>
    <w:rsid w:val="005E2D96"/>
    <w:rsid w:val="005F289A"/>
    <w:rsid w:val="005F28BC"/>
    <w:rsid w:val="005F3ABF"/>
    <w:rsid w:val="005F6B9A"/>
    <w:rsid w:val="005F77DB"/>
    <w:rsid w:val="00613103"/>
    <w:rsid w:val="00622006"/>
    <w:rsid w:val="006251B9"/>
    <w:rsid w:val="00640446"/>
    <w:rsid w:val="006438B6"/>
    <w:rsid w:val="00643D66"/>
    <w:rsid w:val="00643ECE"/>
    <w:rsid w:val="00644483"/>
    <w:rsid w:val="00646DF2"/>
    <w:rsid w:val="0064715B"/>
    <w:rsid w:val="00655831"/>
    <w:rsid w:val="00656A88"/>
    <w:rsid w:val="00660616"/>
    <w:rsid w:val="006625F1"/>
    <w:rsid w:val="00662A1C"/>
    <w:rsid w:val="00664F3A"/>
    <w:rsid w:val="00665FE0"/>
    <w:rsid w:val="00667136"/>
    <w:rsid w:val="0067417D"/>
    <w:rsid w:val="0068376F"/>
    <w:rsid w:val="00690490"/>
    <w:rsid w:val="00694B38"/>
    <w:rsid w:val="00695529"/>
    <w:rsid w:val="006971ED"/>
    <w:rsid w:val="006A0583"/>
    <w:rsid w:val="006A1739"/>
    <w:rsid w:val="006A7AC7"/>
    <w:rsid w:val="006B69B9"/>
    <w:rsid w:val="006C4451"/>
    <w:rsid w:val="006E02B3"/>
    <w:rsid w:val="006E2D8B"/>
    <w:rsid w:val="006F275C"/>
    <w:rsid w:val="006F2F7A"/>
    <w:rsid w:val="006F2FB1"/>
    <w:rsid w:val="00703295"/>
    <w:rsid w:val="007074AF"/>
    <w:rsid w:val="00707607"/>
    <w:rsid w:val="00711F17"/>
    <w:rsid w:val="0073517F"/>
    <w:rsid w:val="0074318F"/>
    <w:rsid w:val="007450E6"/>
    <w:rsid w:val="00750B79"/>
    <w:rsid w:val="007518E6"/>
    <w:rsid w:val="00761D2E"/>
    <w:rsid w:val="0076229B"/>
    <w:rsid w:val="0077593B"/>
    <w:rsid w:val="007766AC"/>
    <w:rsid w:val="00776C4E"/>
    <w:rsid w:val="007839A8"/>
    <w:rsid w:val="00786974"/>
    <w:rsid w:val="0079704A"/>
    <w:rsid w:val="007A136F"/>
    <w:rsid w:val="007A1EB5"/>
    <w:rsid w:val="007A4303"/>
    <w:rsid w:val="007B385E"/>
    <w:rsid w:val="007B3EA9"/>
    <w:rsid w:val="007C26E6"/>
    <w:rsid w:val="007C57B9"/>
    <w:rsid w:val="007E5F79"/>
    <w:rsid w:val="007E6756"/>
    <w:rsid w:val="007F3405"/>
    <w:rsid w:val="00802EC6"/>
    <w:rsid w:val="00803BAC"/>
    <w:rsid w:val="008046B7"/>
    <w:rsid w:val="00820157"/>
    <w:rsid w:val="00821355"/>
    <w:rsid w:val="00823445"/>
    <w:rsid w:val="0082676B"/>
    <w:rsid w:val="008303BF"/>
    <w:rsid w:val="00835EFD"/>
    <w:rsid w:val="00841782"/>
    <w:rsid w:val="00853E42"/>
    <w:rsid w:val="00863389"/>
    <w:rsid w:val="0087049C"/>
    <w:rsid w:val="008727B6"/>
    <w:rsid w:val="00872EC7"/>
    <w:rsid w:val="00882247"/>
    <w:rsid w:val="00884C9A"/>
    <w:rsid w:val="00890C95"/>
    <w:rsid w:val="008943E6"/>
    <w:rsid w:val="008C17FD"/>
    <w:rsid w:val="008D01A9"/>
    <w:rsid w:val="008E081E"/>
    <w:rsid w:val="008E1A45"/>
    <w:rsid w:val="009052BA"/>
    <w:rsid w:val="00906586"/>
    <w:rsid w:val="00923A01"/>
    <w:rsid w:val="00926ADD"/>
    <w:rsid w:val="00930086"/>
    <w:rsid w:val="00930D50"/>
    <w:rsid w:val="00942910"/>
    <w:rsid w:val="00953DBA"/>
    <w:rsid w:val="009633C0"/>
    <w:rsid w:val="00967B98"/>
    <w:rsid w:val="0097447E"/>
    <w:rsid w:val="00974726"/>
    <w:rsid w:val="009804BF"/>
    <w:rsid w:val="00984BAF"/>
    <w:rsid w:val="00984C0A"/>
    <w:rsid w:val="009900B8"/>
    <w:rsid w:val="009A7CC3"/>
    <w:rsid w:val="009B3C57"/>
    <w:rsid w:val="009B6400"/>
    <w:rsid w:val="009C40D6"/>
    <w:rsid w:val="009C6A50"/>
    <w:rsid w:val="009C779A"/>
    <w:rsid w:val="009D0976"/>
    <w:rsid w:val="009D0DFE"/>
    <w:rsid w:val="009D5C43"/>
    <w:rsid w:val="009D7DCF"/>
    <w:rsid w:val="009E1A2F"/>
    <w:rsid w:val="009E1D1F"/>
    <w:rsid w:val="009F0A45"/>
    <w:rsid w:val="009F178C"/>
    <w:rsid w:val="009F5980"/>
    <w:rsid w:val="009F7173"/>
    <w:rsid w:val="009F718E"/>
    <w:rsid w:val="00A11741"/>
    <w:rsid w:val="00A172A7"/>
    <w:rsid w:val="00A3230C"/>
    <w:rsid w:val="00A3426C"/>
    <w:rsid w:val="00A5343A"/>
    <w:rsid w:val="00A658DF"/>
    <w:rsid w:val="00A67E6E"/>
    <w:rsid w:val="00A70BA1"/>
    <w:rsid w:val="00A71FBF"/>
    <w:rsid w:val="00A83B36"/>
    <w:rsid w:val="00A85D8F"/>
    <w:rsid w:val="00A869D4"/>
    <w:rsid w:val="00AA3C41"/>
    <w:rsid w:val="00AA5747"/>
    <w:rsid w:val="00AB25CC"/>
    <w:rsid w:val="00AC3B42"/>
    <w:rsid w:val="00AD6641"/>
    <w:rsid w:val="00AD6F3C"/>
    <w:rsid w:val="00AE34CE"/>
    <w:rsid w:val="00AF526F"/>
    <w:rsid w:val="00B0103F"/>
    <w:rsid w:val="00B05072"/>
    <w:rsid w:val="00B15668"/>
    <w:rsid w:val="00B206F0"/>
    <w:rsid w:val="00B22C7B"/>
    <w:rsid w:val="00B22DE2"/>
    <w:rsid w:val="00B252C6"/>
    <w:rsid w:val="00B327C5"/>
    <w:rsid w:val="00B34B13"/>
    <w:rsid w:val="00B464FE"/>
    <w:rsid w:val="00B465D6"/>
    <w:rsid w:val="00B55B1A"/>
    <w:rsid w:val="00B55C84"/>
    <w:rsid w:val="00B664E4"/>
    <w:rsid w:val="00B726EF"/>
    <w:rsid w:val="00B77006"/>
    <w:rsid w:val="00BA179D"/>
    <w:rsid w:val="00BA4C65"/>
    <w:rsid w:val="00BA72A5"/>
    <w:rsid w:val="00BB3BAC"/>
    <w:rsid w:val="00BB3CC7"/>
    <w:rsid w:val="00BC56B6"/>
    <w:rsid w:val="00BC5FC2"/>
    <w:rsid w:val="00BD2F4E"/>
    <w:rsid w:val="00BD7EF9"/>
    <w:rsid w:val="00BE4871"/>
    <w:rsid w:val="00BF127D"/>
    <w:rsid w:val="00BF4A30"/>
    <w:rsid w:val="00BF6BCC"/>
    <w:rsid w:val="00C0240F"/>
    <w:rsid w:val="00C04E56"/>
    <w:rsid w:val="00C05F8D"/>
    <w:rsid w:val="00C23168"/>
    <w:rsid w:val="00C2464E"/>
    <w:rsid w:val="00C26E4E"/>
    <w:rsid w:val="00C31348"/>
    <w:rsid w:val="00C31951"/>
    <w:rsid w:val="00C31A7C"/>
    <w:rsid w:val="00C36BEA"/>
    <w:rsid w:val="00C37693"/>
    <w:rsid w:val="00C40324"/>
    <w:rsid w:val="00C40A60"/>
    <w:rsid w:val="00C427C0"/>
    <w:rsid w:val="00C43726"/>
    <w:rsid w:val="00C668E8"/>
    <w:rsid w:val="00C67E57"/>
    <w:rsid w:val="00C71514"/>
    <w:rsid w:val="00C733CD"/>
    <w:rsid w:val="00C76E1D"/>
    <w:rsid w:val="00C9069F"/>
    <w:rsid w:val="00C93C6B"/>
    <w:rsid w:val="00C94236"/>
    <w:rsid w:val="00CA1FCE"/>
    <w:rsid w:val="00CB5F36"/>
    <w:rsid w:val="00CB6109"/>
    <w:rsid w:val="00CC0A6E"/>
    <w:rsid w:val="00CC29A2"/>
    <w:rsid w:val="00CD086A"/>
    <w:rsid w:val="00CD3F9B"/>
    <w:rsid w:val="00CE2CBA"/>
    <w:rsid w:val="00CE717A"/>
    <w:rsid w:val="00CF1BB6"/>
    <w:rsid w:val="00CF711F"/>
    <w:rsid w:val="00D01C07"/>
    <w:rsid w:val="00D023ED"/>
    <w:rsid w:val="00D1021F"/>
    <w:rsid w:val="00D13D03"/>
    <w:rsid w:val="00D155EB"/>
    <w:rsid w:val="00D27AE4"/>
    <w:rsid w:val="00D3311F"/>
    <w:rsid w:val="00D40408"/>
    <w:rsid w:val="00D469BF"/>
    <w:rsid w:val="00D471F6"/>
    <w:rsid w:val="00D47B87"/>
    <w:rsid w:val="00D52B1B"/>
    <w:rsid w:val="00D5410E"/>
    <w:rsid w:val="00D5704C"/>
    <w:rsid w:val="00D61D32"/>
    <w:rsid w:val="00D71782"/>
    <w:rsid w:val="00D7485C"/>
    <w:rsid w:val="00D74AC4"/>
    <w:rsid w:val="00D8491B"/>
    <w:rsid w:val="00D85D3F"/>
    <w:rsid w:val="00D956D3"/>
    <w:rsid w:val="00DA18AE"/>
    <w:rsid w:val="00DB024D"/>
    <w:rsid w:val="00DB0581"/>
    <w:rsid w:val="00DB139E"/>
    <w:rsid w:val="00DB2A6F"/>
    <w:rsid w:val="00DB3BF9"/>
    <w:rsid w:val="00DC105E"/>
    <w:rsid w:val="00DC47DF"/>
    <w:rsid w:val="00DC6037"/>
    <w:rsid w:val="00DD760E"/>
    <w:rsid w:val="00E0142C"/>
    <w:rsid w:val="00E05123"/>
    <w:rsid w:val="00E2186C"/>
    <w:rsid w:val="00E24347"/>
    <w:rsid w:val="00E25670"/>
    <w:rsid w:val="00E34236"/>
    <w:rsid w:val="00E35FA6"/>
    <w:rsid w:val="00E4465E"/>
    <w:rsid w:val="00E63CFA"/>
    <w:rsid w:val="00E80B30"/>
    <w:rsid w:val="00E82DFC"/>
    <w:rsid w:val="00E84823"/>
    <w:rsid w:val="00E92AD2"/>
    <w:rsid w:val="00EA031B"/>
    <w:rsid w:val="00EA26FF"/>
    <w:rsid w:val="00EA75F3"/>
    <w:rsid w:val="00EB2A7C"/>
    <w:rsid w:val="00EB5876"/>
    <w:rsid w:val="00EC4BF3"/>
    <w:rsid w:val="00EC692E"/>
    <w:rsid w:val="00EE01FE"/>
    <w:rsid w:val="00EE5A8C"/>
    <w:rsid w:val="00EE61E9"/>
    <w:rsid w:val="00EF2BCD"/>
    <w:rsid w:val="00F01F80"/>
    <w:rsid w:val="00F04F55"/>
    <w:rsid w:val="00F07120"/>
    <w:rsid w:val="00F16280"/>
    <w:rsid w:val="00F177E3"/>
    <w:rsid w:val="00F20CF3"/>
    <w:rsid w:val="00F240BF"/>
    <w:rsid w:val="00F3082A"/>
    <w:rsid w:val="00F33352"/>
    <w:rsid w:val="00F3357F"/>
    <w:rsid w:val="00F34810"/>
    <w:rsid w:val="00F455BE"/>
    <w:rsid w:val="00F53F1A"/>
    <w:rsid w:val="00F551AD"/>
    <w:rsid w:val="00F56635"/>
    <w:rsid w:val="00F56D9E"/>
    <w:rsid w:val="00F650BA"/>
    <w:rsid w:val="00F7065A"/>
    <w:rsid w:val="00F77A24"/>
    <w:rsid w:val="00F8309A"/>
    <w:rsid w:val="00F93B9B"/>
    <w:rsid w:val="00F96B16"/>
    <w:rsid w:val="00F97903"/>
    <w:rsid w:val="00FA3EE0"/>
    <w:rsid w:val="00FA6D81"/>
    <w:rsid w:val="00FB2DF2"/>
    <w:rsid w:val="00FB7992"/>
    <w:rsid w:val="00FC51C4"/>
    <w:rsid w:val="00FD0023"/>
    <w:rsid w:val="00FD027D"/>
    <w:rsid w:val="00FD0B79"/>
    <w:rsid w:val="00FD3054"/>
    <w:rsid w:val="00FD58A2"/>
    <w:rsid w:val="00FE0142"/>
    <w:rsid w:val="00FE0782"/>
    <w:rsid w:val="00FE0F0E"/>
    <w:rsid w:val="00FE2A8F"/>
    <w:rsid w:val="00FE40F1"/>
    <w:rsid w:val="00FE4880"/>
    <w:rsid w:val="00FF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208B9C-3A68-42E2-9A72-887AD08F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94"/>
    <w:pPr>
      <w:spacing w:after="0" w:line="360" w:lineRule="auto"/>
      <w:jc w:val="both"/>
    </w:pPr>
    <w:rPr>
      <w:rFonts w:ascii="Times New Roman" w:hAnsi="Times New Roman"/>
      <w:sz w:val="24"/>
    </w:rPr>
  </w:style>
  <w:style w:type="paragraph" w:styleId="Heading1">
    <w:name w:val="heading 1"/>
    <w:basedOn w:val="Normal"/>
    <w:next w:val="Normal"/>
    <w:link w:val="Heading1Char"/>
    <w:autoRedefine/>
    <w:qFormat/>
    <w:rsid w:val="00260700"/>
    <w:pPr>
      <w:keepNext/>
      <w:jc w:val="center"/>
      <w:outlineLvl w:val="0"/>
    </w:pPr>
    <w:rPr>
      <w:rFonts w:eastAsiaTheme="minorEastAsia" w:cs="Times New Roman"/>
      <w:b/>
      <w:bCs/>
      <w:kern w:val="32"/>
      <w:sz w:val="36"/>
      <w:szCs w:val="32"/>
      <w:lang w:val="en-US" w:eastAsia="zh-CN"/>
    </w:rPr>
  </w:style>
  <w:style w:type="paragraph" w:styleId="Heading2">
    <w:name w:val="heading 2"/>
    <w:basedOn w:val="Normal"/>
    <w:next w:val="Normal"/>
    <w:link w:val="Heading2Char"/>
    <w:autoRedefine/>
    <w:unhideWhenUsed/>
    <w:qFormat/>
    <w:rsid w:val="00260700"/>
    <w:pPr>
      <w:keepNext/>
      <w:keepLines/>
      <w:jc w:val="center"/>
      <w:outlineLvl w:val="1"/>
    </w:pPr>
    <w:rPr>
      <w:rFonts w:eastAsiaTheme="majorEastAsia" w:cstheme="majorBidi"/>
      <w:b/>
      <w:bCs/>
      <w:sz w:val="28"/>
      <w:szCs w:val="26"/>
    </w:rPr>
  </w:style>
  <w:style w:type="paragraph" w:styleId="Heading3">
    <w:name w:val="heading 3"/>
    <w:basedOn w:val="Normal"/>
    <w:next w:val="Normal"/>
    <w:link w:val="Heading3Char"/>
    <w:autoRedefine/>
    <w:unhideWhenUsed/>
    <w:qFormat/>
    <w:rsid w:val="00FD0B79"/>
    <w:pPr>
      <w:keepNext/>
      <w:jc w:val="left"/>
      <w:outlineLvl w:val="2"/>
    </w:pPr>
    <w:rPr>
      <w:rFonts w:eastAsia="Times New Roman" w:cstheme="majorBidi"/>
      <w:b/>
      <w:i/>
      <w:sz w:val="28"/>
      <w:szCs w:val="24"/>
      <w:lang w:val="nb-NO" w:eastAsia="de-DE"/>
    </w:rPr>
  </w:style>
  <w:style w:type="paragraph" w:styleId="Heading4">
    <w:name w:val="heading 4"/>
    <w:basedOn w:val="Normal"/>
    <w:next w:val="Normal"/>
    <w:link w:val="Heading4Char"/>
    <w:autoRedefine/>
    <w:unhideWhenUsed/>
    <w:qFormat/>
    <w:rsid w:val="000A7926"/>
    <w:pPr>
      <w:keepNext/>
      <w:keepLines/>
      <w:spacing w:line="240" w:lineRule="auto"/>
      <w:jc w:val="left"/>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CB6109"/>
    <w:pPr>
      <w:keepNext/>
      <w:keepLines/>
      <w:jc w:val="left"/>
      <w:outlineLvl w:val="4"/>
    </w:pPr>
    <w:rPr>
      <w:rFonts w:eastAsiaTheme="majorEastAsia" w:cstheme="majorBidi"/>
      <w:i/>
      <w:sz w:val="22"/>
    </w:rPr>
  </w:style>
  <w:style w:type="paragraph" w:styleId="Heading6">
    <w:name w:val="heading 6"/>
    <w:basedOn w:val="Normal"/>
    <w:next w:val="Normal"/>
    <w:link w:val="Heading6Char"/>
    <w:semiHidden/>
    <w:unhideWhenUsed/>
    <w:qFormat/>
    <w:rsid w:val="007518E6"/>
    <w:pPr>
      <w:spacing w:before="240" w:after="60" w:line="480" w:lineRule="auto"/>
      <w:outlineLvl w:val="5"/>
    </w:pPr>
    <w:rPr>
      <w:rFonts w:eastAsia="Times New Roman" w:cs="Times New Roman"/>
      <w:b/>
      <w:kern w:val="3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110BFB"/>
    <w:pPr>
      <w:pBdr>
        <w:bottom w:val="single" w:sz="8" w:space="4" w:color="4F81BD" w:themeColor="accent1"/>
      </w:pBdr>
      <w:spacing w:after="300"/>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rsid w:val="00110BFB"/>
    <w:rPr>
      <w:rFonts w:ascii="Times New Roman" w:eastAsiaTheme="majorEastAsia" w:hAnsi="Times New Roman" w:cstheme="majorBidi"/>
      <w:b/>
      <w:spacing w:val="5"/>
      <w:kern w:val="28"/>
      <w:sz w:val="48"/>
      <w:szCs w:val="52"/>
      <w:lang w:val="en-US"/>
    </w:rPr>
  </w:style>
  <w:style w:type="character" w:customStyle="1" w:styleId="Heading2Char">
    <w:name w:val="Heading 2 Char"/>
    <w:basedOn w:val="DefaultParagraphFont"/>
    <w:link w:val="Heading2"/>
    <w:rsid w:val="00260700"/>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rsid w:val="00260700"/>
    <w:rPr>
      <w:rFonts w:ascii="Times New Roman" w:eastAsiaTheme="minorEastAsia" w:hAnsi="Times New Roman" w:cs="Times New Roman"/>
      <w:b/>
      <w:bCs/>
      <w:kern w:val="32"/>
      <w:sz w:val="36"/>
      <w:szCs w:val="32"/>
      <w:lang w:val="en-US" w:eastAsia="zh-CN"/>
    </w:rPr>
  </w:style>
  <w:style w:type="character" w:customStyle="1" w:styleId="Heading3Char">
    <w:name w:val="Heading 3 Char"/>
    <w:basedOn w:val="DefaultParagraphFont"/>
    <w:link w:val="Heading3"/>
    <w:rsid w:val="00FD0B79"/>
    <w:rPr>
      <w:rFonts w:ascii="Times New Roman" w:eastAsia="Times New Roman" w:hAnsi="Times New Roman" w:cstheme="majorBidi"/>
      <w:b/>
      <w:i/>
      <w:sz w:val="28"/>
      <w:szCs w:val="24"/>
      <w:lang w:val="nb-NO" w:eastAsia="de-DE"/>
    </w:rPr>
  </w:style>
  <w:style w:type="paragraph" w:customStyle="1" w:styleId="author">
    <w:name w:val="author"/>
    <w:basedOn w:val="Normal"/>
    <w:next w:val="Normal"/>
    <w:autoRedefine/>
    <w:qFormat/>
    <w:rsid w:val="002643BC"/>
    <w:pPr>
      <w:jc w:val="center"/>
    </w:pPr>
    <w:rPr>
      <w:sz w:val="20"/>
      <w:szCs w:val="20"/>
    </w:rPr>
  </w:style>
  <w:style w:type="paragraph" w:styleId="Bibliography">
    <w:name w:val="Bibliography"/>
    <w:basedOn w:val="Normal"/>
    <w:next w:val="Normal"/>
    <w:autoRedefine/>
    <w:unhideWhenUsed/>
    <w:qFormat/>
    <w:rsid w:val="0043095E"/>
    <w:pPr>
      <w:spacing w:line="240" w:lineRule="auto"/>
      <w:ind w:left="720" w:hanging="720"/>
      <w:jc w:val="left"/>
      <w:outlineLvl w:val="0"/>
    </w:pPr>
  </w:style>
  <w:style w:type="paragraph" w:styleId="NoSpacing">
    <w:name w:val="No Spacing"/>
    <w:uiPriority w:val="1"/>
    <w:qFormat/>
    <w:rsid w:val="009D0976"/>
    <w:pPr>
      <w:spacing w:after="0" w:line="240" w:lineRule="auto"/>
      <w:jc w:val="both"/>
    </w:pPr>
    <w:rPr>
      <w:rFonts w:ascii="Times New Roman" w:hAnsi="Times New Roman"/>
      <w:sz w:val="24"/>
    </w:rPr>
  </w:style>
  <w:style w:type="paragraph" w:styleId="Quote">
    <w:name w:val="Quote"/>
    <w:basedOn w:val="Normal"/>
    <w:next w:val="Normal"/>
    <w:link w:val="QuoteChar"/>
    <w:autoRedefine/>
    <w:uiPriority w:val="29"/>
    <w:qFormat/>
    <w:rsid w:val="0043095E"/>
    <w:pPr>
      <w:spacing w:before="120" w:after="120" w:line="240" w:lineRule="auto"/>
      <w:ind w:left="720" w:right="720"/>
      <w:outlineLvl w:val="0"/>
    </w:pPr>
    <w:rPr>
      <w:iCs/>
    </w:rPr>
  </w:style>
  <w:style w:type="character" w:customStyle="1" w:styleId="QuoteChar">
    <w:name w:val="Quote Char"/>
    <w:basedOn w:val="DefaultParagraphFont"/>
    <w:link w:val="Quote"/>
    <w:uiPriority w:val="29"/>
    <w:rsid w:val="0043095E"/>
    <w:rPr>
      <w:rFonts w:ascii="Times New Roman" w:hAnsi="Times New Roman"/>
      <w:iCs/>
      <w:sz w:val="24"/>
      <w:lang w:val="en-US"/>
    </w:rPr>
  </w:style>
  <w:style w:type="paragraph" w:customStyle="1" w:styleId="Editors">
    <w:name w:val="Editors"/>
    <w:basedOn w:val="Normal"/>
    <w:qFormat/>
    <w:rsid w:val="00110BFB"/>
  </w:style>
  <w:style w:type="character" w:customStyle="1" w:styleId="Heading4Char">
    <w:name w:val="Heading 4 Char"/>
    <w:basedOn w:val="DefaultParagraphFont"/>
    <w:link w:val="Heading4"/>
    <w:rsid w:val="000A7926"/>
    <w:rPr>
      <w:rFonts w:ascii="Times New Roman" w:eastAsiaTheme="majorEastAsia" w:hAnsi="Times New Roman" w:cstheme="majorBidi"/>
      <w:b/>
      <w:bCs/>
      <w:i/>
      <w:iCs/>
      <w:sz w:val="24"/>
    </w:rPr>
  </w:style>
  <w:style w:type="paragraph" w:styleId="Header">
    <w:name w:val="header"/>
    <w:basedOn w:val="Normal"/>
    <w:link w:val="HeaderChar"/>
    <w:uiPriority w:val="99"/>
    <w:unhideWhenUsed/>
    <w:rsid w:val="00AE34CE"/>
    <w:pPr>
      <w:tabs>
        <w:tab w:val="center" w:pos="4513"/>
        <w:tab w:val="right" w:pos="9026"/>
      </w:tabs>
      <w:spacing w:line="240" w:lineRule="auto"/>
    </w:pPr>
  </w:style>
  <w:style w:type="character" w:customStyle="1" w:styleId="HeaderChar">
    <w:name w:val="Header Char"/>
    <w:basedOn w:val="DefaultParagraphFont"/>
    <w:link w:val="Header"/>
    <w:uiPriority w:val="99"/>
    <w:rsid w:val="00AE34CE"/>
    <w:rPr>
      <w:rFonts w:ascii="Times New Roman" w:hAnsi="Times New Roman"/>
      <w:sz w:val="24"/>
      <w:lang w:val="en-US"/>
    </w:rPr>
  </w:style>
  <w:style w:type="paragraph" w:styleId="Footer">
    <w:name w:val="footer"/>
    <w:basedOn w:val="Normal"/>
    <w:link w:val="FooterChar"/>
    <w:uiPriority w:val="99"/>
    <w:unhideWhenUsed/>
    <w:rsid w:val="00AE34CE"/>
    <w:pPr>
      <w:tabs>
        <w:tab w:val="center" w:pos="4513"/>
        <w:tab w:val="right" w:pos="9026"/>
      </w:tabs>
      <w:spacing w:line="240" w:lineRule="auto"/>
    </w:pPr>
  </w:style>
  <w:style w:type="character" w:customStyle="1" w:styleId="FooterChar">
    <w:name w:val="Footer Char"/>
    <w:basedOn w:val="DefaultParagraphFont"/>
    <w:link w:val="Footer"/>
    <w:uiPriority w:val="99"/>
    <w:rsid w:val="00AE34CE"/>
    <w:rPr>
      <w:rFonts w:ascii="Times New Roman" w:hAnsi="Times New Roman"/>
      <w:sz w:val="24"/>
      <w:lang w:val="en-US"/>
    </w:rPr>
  </w:style>
  <w:style w:type="paragraph" w:customStyle="1" w:styleId="Leftheader">
    <w:name w:val="Left header"/>
    <w:basedOn w:val="Normal"/>
    <w:next w:val="Normal"/>
    <w:autoRedefine/>
    <w:qFormat/>
    <w:rsid w:val="00BA179D"/>
    <w:pPr>
      <w:jc w:val="left"/>
    </w:pPr>
    <w:rPr>
      <w:b/>
      <w:sz w:val="20"/>
    </w:rPr>
  </w:style>
  <w:style w:type="paragraph" w:customStyle="1" w:styleId="rightheader">
    <w:name w:val="right header"/>
    <w:basedOn w:val="Normal"/>
    <w:next w:val="Normal"/>
    <w:autoRedefine/>
    <w:qFormat/>
    <w:rsid w:val="00BA179D"/>
    <w:pPr>
      <w:jc w:val="right"/>
    </w:pPr>
    <w:rPr>
      <w:b/>
      <w:sz w:val="20"/>
    </w:rPr>
  </w:style>
  <w:style w:type="paragraph" w:styleId="FootnoteText">
    <w:name w:val="footnote text"/>
    <w:basedOn w:val="Normal"/>
    <w:link w:val="FootnoteTextChar"/>
    <w:unhideWhenUsed/>
    <w:rsid w:val="00B22C7B"/>
    <w:pPr>
      <w:spacing w:before="120" w:line="240" w:lineRule="auto"/>
      <w:ind w:left="720" w:hanging="720"/>
      <w:jc w:val="left"/>
    </w:pPr>
    <w:rPr>
      <w:sz w:val="20"/>
      <w:szCs w:val="20"/>
    </w:rPr>
  </w:style>
  <w:style w:type="character" w:customStyle="1" w:styleId="FootnoteTextChar">
    <w:name w:val="Footnote Text Char"/>
    <w:basedOn w:val="DefaultParagraphFont"/>
    <w:link w:val="FootnoteText"/>
    <w:rsid w:val="00B22C7B"/>
    <w:rPr>
      <w:rFonts w:ascii="Times New Roman" w:hAnsi="Times New Roman"/>
      <w:sz w:val="20"/>
      <w:szCs w:val="20"/>
      <w:lang w:val="en-US"/>
    </w:rPr>
  </w:style>
  <w:style w:type="character" w:customStyle="1" w:styleId="Heading6Char">
    <w:name w:val="Heading 6 Char"/>
    <w:basedOn w:val="DefaultParagraphFont"/>
    <w:link w:val="Heading6"/>
    <w:semiHidden/>
    <w:rsid w:val="007518E6"/>
    <w:rPr>
      <w:rFonts w:ascii="Times New Roman" w:eastAsia="Times New Roman" w:hAnsi="Times New Roman" w:cs="Times New Roman"/>
      <w:b/>
      <w:kern w:val="32"/>
      <w:lang w:val="en-US"/>
    </w:rPr>
  </w:style>
  <w:style w:type="character" w:styleId="Hyperlink">
    <w:name w:val="Hyperlink"/>
    <w:basedOn w:val="DefaultParagraphFont"/>
    <w:uiPriority w:val="99"/>
    <w:unhideWhenUsed/>
    <w:rsid w:val="007518E6"/>
    <w:rPr>
      <w:color w:val="0000FF"/>
      <w:u w:val="single"/>
    </w:rPr>
  </w:style>
  <w:style w:type="character" w:styleId="FollowedHyperlink">
    <w:name w:val="FollowedHyperlink"/>
    <w:basedOn w:val="DefaultParagraphFont"/>
    <w:uiPriority w:val="99"/>
    <w:semiHidden/>
    <w:unhideWhenUsed/>
    <w:rsid w:val="007518E6"/>
    <w:rPr>
      <w:color w:val="800080" w:themeColor="followedHyperlink"/>
      <w:u w:val="single"/>
    </w:rPr>
  </w:style>
  <w:style w:type="paragraph" w:styleId="NormalWeb">
    <w:name w:val="Normal (Web)"/>
    <w:basedOn w:val="Normal"/>
    <w:semiHidden/>
    <w:unhideWhenUsed/>
    <w:rsid w:val="007518E6"/>
    <w:pPr>
      <w:spacing w:before="100" w:beforeAutospacing="1" w:after="100" w:afterAutospacing="1" w:line="480" w:lineRule="auto"/>
    </w:pPr>
    <w:rPr>
      <w:rFonts w:eastAsia="Times New Roman" w:cs="Times New Roman"/>
      <w:szCs w:val="24"/>
    </w:rPr>
  </w:style>
  <w:style w:type="paragraph" w:styleId="TOC1">
    <w:name w:val="toc 1"/>
    <w:basedOn w:val="Normal"/>
    <w:next w:val="Normal"/>
    <w:autoRedefine/>
    <w:semiHidden/>
    <w:unhideWhenUsed/>
    <w:rsid w:val="007518E6"/>
    <w:pPr>
      <w:spacing w:line="480" w:lineRule="auto"/>
    </w:pPr>
    <w:rPr>
      <w:rFonts w:eastAsia="Times New Roman" w:cs="Times New Roman"/>
      <w:bCs/>
      <w:kern w:val="32"/>
      <w:szCs w:val="24"/>
    </w:rPr>
  </w:style>
  <w:style w:type="paragraph" w:styleId="TOC2">
    <w:name w:val="toc 2"/>
    <w:basedOn w:val="Normal"/>
    <w:next w:val="Normal"/>
    <w:autoRedefine/>
    <w:semiHidden/>
    <w:unhideWhenUsed/>
    <w:rsid w:val="007518E6"/>
    <w:pPr>
      <w:spacing w:line="480" w:lineRule="auto"/>
      <w:ind w:left="240"/>
    </w:pPr>
    <w:rPr>
      <w:rFonts w:eastAsia="Times New Roman" w:cs="Times New Roman"/>
      <w:bCs/>
      <w:kern w:val="32"/>
      <w:szCs w:val="24"/>
    </w:rPr>
  </w:style>
  <w:style w:type="paragraph" w:styleId="TOC3">
    <w:name w:val="toc 3"/>
    <w:basedOn w:val="Normal"/>
    <w:next w:val="Normal"/>
    <w:autoRedefine/>
    <w:semiHidden/>
    <w:unhideWhenUsed/>
    <w:rsid w:val="007518E6"/>
    <w:pPr>
      <w:spacing w:line="480" w:lineRule="auto"/>
      <w:ind w:left="480"/>
    </w:pPr>
    <w:rPr>
      <w:rFonts w:eastAsia="Times New Roman" w:cs="Times New Roman"/>
      <w:bCs/>
      <w:kern w:val="32"/>
      <w:szCs w:val="24"/>
    </w:rPr>
  </w:style>
  <w:style w:type="paragraph" w:styleId="TOC4">
    <w:name w:val="toc 4"/>
    <w:basedOn w:val="Normal"/>
    <w:next w:val="Normal"/>
    <w:autoRedefine/>
    <w:semiHidden/>
    <w:unhideWhenUsed/>
    <w:rsid w:val="007518E6"/>
    <w:pPr>
      <w:spacing w:line="480" w:lineRule="auto"/>
      <w:ind w:left="720"/>
    </w:pPr>
    <w:rPr>
      <w:rFonts w:eastAsia="Times New Roman" w:cs="Times New Roman"/>
      <w:bCs/>
      <w:kern w:val="32"/>
      <w:szCs w:val="24"/>
    </w:rPr>
  </w:style>
  <w:style w:type="paragraph" w:styleId="ListBullet">
    <w:name w:val="List Bullet"/>
    <w:basedOn w:val="Normal"/>
    <w:autoRedefine/>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Number">
    <w:name w:val="List Number"/>
    <w:basedOn w:val="Normal"/>
    <w:semiHidden/>
    <w:unhideWhenUsed/>
    <w:rsid w:val="007518E6"/>
    <w:pPr>
      <w:tabs>
        <w:tab w:val="left" w:pos="0"/>
        <w:tab w:val="num" w:pos="360"/>
      </w:tabs>
      <w:spacing w:line="480" w:lineRule="auto"/>
      <w:ind w:left="360" w:hanging="360"/>
    </w:pPr>
    <w:rPr>
      <w:rFonts w:eastAsia="Times New Roman" w:cs="Times New Roman"/>
      <w:szCs w:val="24"/>
    </w:rPr>
  </w:style>
  <w:style w:type="paragraph" w:styleId="ListBullet2">
    <w:name w:val="List Bullet 2"/>
    <w:basedOn w:val="Normal"/>
    <w:autoRedefine/>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Bullet3">
    <w:name w:val="List Bullet 3"/>
    <w:basedOn w:val="Normal"/>
    <w:autoRedefine/>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Bullet4">
    <w:name w:val="List Bullet 4"/>
    <w:basedOn w:val="Normal"/>
    <w:autoRedefine/>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Bullet5">
    <w:name w:val="List Bullet 5"/>
    <w:basedOn w:val="Normal"/>
    <w:autoRedefine/>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ListNumber2">
    <w:name w:val="List Number 2"/>
    <w:basedOn w:val="Normal"/>
    <w:semiHidden/>
    <w:unhideWhenUsed/>
    <w:rsid w:val="007518E6"/>
    <w:pPr>
      <w:tabs>
        <w:tab w:val="left" w:pos="0"/>
        <w:tab w:val="num" w:pos="720"/>
      </w:tabs>
      <w:spacing w:line="480" w:lineRule="auto"/>
      <w:ind w:left="720" w:hanging="360"/>
    </w:pPr>
    <w:rPr>
      <w:rFonts w:eastAsia="Times New Roman" w:cs="Times New Roman"/>
      <w:szCs w:val="24"/>
    </w:rPr>
  </w:style>
  <w:style w:type="paragraph" w:styleId="ListNumber3">
    <w:name w:val="List Number 3"/>
    <w:basedOn w:val="Normal"/>
    <w:semiHidden/>
    <w:unhideWhenUsed/>
    <w:rsid w:val="007518E6"/>
    <w:pPr>
      <w:tabs>
        <w:tab w:val="left" w:pos="0"/>
        <w:tab w:val="num" w:pos="1080"/>
      </w:tabs>
      <w:spacing w:line="480" w:lineRule="auto"/>
      <w:ind w:left="1080" w:hanging="360"/>
    </w:pPr>
    <w:rPr>
      <w:rFonts w:eastAsia="Times New Roman" w:cs="Times New Roman"/>
      <w:szCs w:val="24"/>
    </w:rPr>
  </w:style>
  <w:style w:type="paragraph" w:styleId="ListNumber4">
    <w:name w:val="List Number 4"/>
    <w:basedOn w:val="Normal"/>
    <w:semiHidden/>
    <w:unhideWhenUsed/>
    <w:rsid w:val="007518E6"/>
    <w:pPr>
      <w:tabs>
        <w:tab w:val="left" w:pos="0"/>
        <w:tab w:val="num" w:pos="1440"/>
      </w:tabs>
      <w:spacing w:line="480" w:lineRule="auto"/>
      <w:ind w:left="1440" w:hanging="360"/>
    </w:pPr>
    <w:rPr>
      <w:rFonts w:eastAsia="Times New Roman" w:cs="Times New Roman"/>
      <w:szCs w:val="24"/>
    </w:rPr>
  </w:style>
  <w:style w:type="paragraph" w:styleId="ListNumber5">
    <w:name w:val="List Number 5"/>
    <w:basedOn w:val="Normal"/>
    <w:semiHidden/>
    <w:unhideWhenUsed/>
    <w:rsid w:val="007518E6"/>
    <w:pPr>
      <w:tabs>
        <w:tab w:val="left" w:pos="0"/>
        <w:tab w:val="num" w:pos="1800"/>
      </w:tabs>
      <w:spacing w:line="480" w:lineRule="auto"/>
      <w:ind w:left="1800" w:hanging="360"/>
    </w:pPr>
    <w:rPr>
      <w:rFonts w:eastAsia="Times New Roman" w:cs="Times New Roman"/>
      <w:szCs w:val="24"/>
    </w:rPr>
  </w:style>
  <w:style w:type="paragraph" w:styleId="Signature">
    <w:name w:val="Signature"/>
    <w:basedOn w:val="Normal"/>
    <w:link w:val="SignatureChar"/>
    <w:semiHidden/>
    <w:unhideWhenUsed/>
    <w:rsid w:val="007518E6"/>
    <w:pPr>
      <w:tabs>
        <w:tab w:val="left" w:pos="0"/>
      </w:tabs>
      <w:spacing w:line="480" w:lineRule="auto"/>
      <w:ind w:left="4252"/>
    </w:pPr>
    <w:rPr>
      <w:rFonts w:eastAsia="Times New Roman" w:cs="Times New Roman"/>
      <w:szCs w:val="24"/>
    </w:rPr>
  </w:style>
  <w:style w:type="character" w:customStyle="1" w:styleId="SignatureChar">
    <w:name w:val="Signature Char"/>
    <w:basedOn w:val="DefaultParagraphFont"/>
    <w:link w:val="Signature"/>
    <w:semiHidden/>
    <w:rsid w:val="007518E6"/>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7518E6"/>
    <w:pPr>
      <w:widowControl w:val="0"/>
      <w:tabs>
        <w:tab w:val="left" w:pos="-720"/>
      </w:tabs>
      <w:suppressAutoHyphens/>
      <w:snapToGrid w:val="0"/>
      <w:spacing w:line="480" w:lineRule="auto"/>
    </w:pPr>
    <w:rPr>
      <w:rFonts w:ascii="Univers" w:eastAsia="Times New Roman" w:hAnsi="Univers" w:cs="Times New Roman"/>
      <w:bCs/>
      <w:kern w:val="32"/>
      <w:sz w:val="22"/>
      <w:szCs w:val="20"/>
    </w:rPr>
  </w:style>
  <w:style w:type="character" w:customStyle="1" w:styleId="BodyTextChar">
    <w:name w:val="Body Text Char"/>
    <w:basedOn w:val="DefaultParagraphFont"/>
    <w:link w:val="BodyText"/>
    <w:semiHidden/>
    <w:rsid w:val="007518E6"/>
    <w:rPr>
      <w:rFonts w:ascii="Univers" w:eastAsia="Times New Roman" w:hAnsi="Univers" w:cs="Times New Roman"/>
      <w:bCs/>
      <w:kern w:val="32"/>
      <w:szCs w:val="20"/>
    </w:rPr>
  </w:style>
  <w:style w:type="paragraph" w:styleId="Subtitle">
    <w:name w:val="Subtitle"/>
    <w:basedOn w:val="Normal"/>
    <w:link w:val="SubtitleChar"/>
    <w:autoRedefine/>
    <w:qFormat/>
    <w:rsid w:val="007518E6"/>
    <w:pPr>
      <w:spacing w:line="480" w:lineRule="auto"/>
      <w:jc w:val="center"/>
    </w:pPr>
    <w:rPr>
      <w:rFonts w:eastAsia="Times New Roman" w:cs="Times New Roman"/>
      <w:b/>
      <w:bCs/>
      <w:sz w:val="32"/>
      <w:szCs w:val="32"/>
    </w:rPr>
  </w:style>
  <w:style w:type="character" w:customStyle="1" w:styleId="SubtitleChar">
    <w:name w:val="Subtitle Char"/>
    <w:basedOn w:val="DefaultParagraphFont"/>
    <w:link w:val="Subtitle"/>
    <w:rsid w:val="007518E6"/>
    <w:rPr>
      <w:rFonts w:ascii="Times New Roman" w:eastAsia="Times New Roman" w:hAnsi="Times New Roman" w:cs="Times New Roman"/>
      <w:b/>
      <w:bCs/>
      <w:sz w:val="32"/>
      <w:szCs w:val="32"/>
      <w:lang w:val="en-US"/>
    </w:rPr>
  </w:style>
  <w:style w:type="paragraph" w:styleId="Salutation">
    <w:name w:val="Salutation"/>
    <w:basedOn w:val="Normal"/>
    <w:next w:val="Normal"/>
    <w:link w:val="SalutationChar"/>
    <w:semiHidden/>
    <w:unhideWhenUsed/>
    <w:rsid w:val="007518E6"/>
    <w:pPr>
      <w:tabs>
        <w:tab w:val="left" w:pos="0"/>
      </w:tabs>
      <w:spacing w:line="480" w:lineRule="auto"/>
    </w:pPr>
    <w:rPr>
      <w:rFonts w:eastAsia="Times New Roman" w:cs="Times New Roman"/>
      <w:szCs w:val="24"/>
    </w:rPr>
  </w:style>
  <w:style w:type="character" w:customStyle="1" w:styleId="SalutationChar">
    <w:name w:val="Salutation Char"/>
    <w:basedOn w:val="DefaultParagraphFont"/>
    <w:link w:val="Salutation"/>
    <w:semiHidden/>
    <w:rsid w:val="007518E6"/>
    <w:rPr>
      <w:rFonts w:ascii="Times New Roman" w:eastAsia="Times New Roman" w:hAnsi="Times New Roman" w:cs="Times New Roman"/>
      <w:sz w:val="24"/>
      <w:szCs w:val="24"/>
      <w:lang w:val="en-US"/>
    </w:rPr>
  </w:style>
  <w:style w:type="paragraph" w:styleId="BlockText">
    <w:name w:val="Block Text"/>
    <w:basedOn w:val="Normal"/>
    <w:semiHidden/>
    <w:unhideWhenUsed/>
    <w:rsid w:val="007518E6"/>
    <w:pPr>
      <w:spacing w:after="120" w:line="480" w:lineRule="auto"/>
      <w:ind w:left="1440" w:right="1440"/>
    </w:pPr>
    <w:rPr>
      <w:rFonts w:eastAsia="Times New Roman" w:cs="Arial"/>
      <w:bCs/>
      <w:kern w:val="32"/>
      <w:szCs w:val="24"/>
    </w:rPr>
  </w:style>
  <w:style w:type="paragraph" w:styleId="DocumentMap">
    <w:name w:val="Document Map"/>
    <w:basedOn w:val="Normal"/>
    <w:link w:val="DocumentMapChar"/>
    <w:semiHidden/>
    <w:unhideWhenUsed/>
    <w:rsid w:val="007518E6"/>
    <w:pPr>
      <w:shd w:val="clear" w:color="auto" w:fill="000080"/>
      <w:spacing w:line="480" w:lineRule="auto"/>
    </w:pPr>
    <w:rPr>
      <w:rFonts w:ascii="Tahoma" w:eastAsia="Times New Roman" w:hAnsi="Tahoma" w:cs="Tahoma"/>
      <w:bCs/>
      <w:kern w:val="32"/>
      <w:sz w:val="20"/>
      <w:szCs w:val="20"/>
    </w:rPr>
  </w:style>
  <w:style w:type="character" w:customStyle="1" w:styleId="DocumentMapChar">
    <w:name w:val="Document Map Char"/>
    <w:basedOn w:val="DefaultParagraphFont"/>
    <w:link w:val="DocumentMap"/>
    <w:semiHidden/>
    <w:rsid w:val="007518E6"/>
    <w:rPr>
      <w:rFonts w:ascii="Tahoma" w:eastAsia="Times New Roman" w:hAnsi="Tahoma" w:cs="Tahoma"/>
      <w:bCs/>
      <w:kern w:val="32"/>
      <w:sz w:val="20"/>
      <w:szCs w:val="20"/>
      <w:shd w:val="clear" w:color="auto" w:fill="000080"/>
      <w:lang w:val="en-US"/>
    </w:rPr>
  </w:style>
  <w:style w:type="character" w:customStyle="1" w:styleId="Normal1Char">
    <w:name w:val="Normal1 Char"/>
    <w:basedOn w:val="DefaultParagraphFont"/>
    <w:link w:val="Normal1"/>
    <w:locked/>
    <w:rsid w:val="007518E6"/>
    <w:rPr>
      <w:rFonts w:ascii="Tms Rmn" w:hAnsi="Tms Rmn"/>
      <w:noProof/>
      <w:lang w:val="en-US"/>
    </w:rPr>
  </w:style>
  <w:style w:type="paragraph" w:customStyle="1" w:styleId="Normal1">
    <w:name w:val="Normal1"/>
    <w:link w:val="Normal1Char"/>
    <w:rsid w:val="007518E6"/>
    <w:pPr>
      <w:spacing w:after="0" w:line="240" w:lineRule="auto"/>
    </w:pPr>
    <w:rPr>
      <w:rFonts w:ascii="Tms Rmn" w:hAnsi="Tms Rmn"/>
      <w:noProof/>
      <w:lang w:val="en-US"/>
    </w:rPr>
  </w:style>
  <w:style w:type="paragraph" w:customStyle="1" w:styleId="Body2">
    <w:name w:val="Body 2"/>
    <w:basedOn w:val="Normal"/>
    <w:rsid w:val="007518E6"/>
    <w:pPr>
      <w:spacing w:after="220" w:line="264" w:lineRule="auto"/>
      <w:ind w:left="709"/>
    </w:pPr>
    <w:rPr>
      <w:rFonts w:ascii="Arial" w:eastAsia="Times New Roman" w:hAnsi="Arial" w:cs="Times New Roman"/>
      <w:bCs/>
      <w:kern w:val="28"/>
      <w:sz w:val="21"/>
      <w:szCs w:val="20"/>
    </w:rPr>
  </w:style>
  <w:style w:type="paragraph" w:customStyle="1" w:styleId="Level1">
    <w:name w:val="Level 1"/>
    <w:basedOn w:val="Normal"/>
    <w:next w:val="Body2"/>
    <w:rsid w:val="007518E6"/>
    <w:pPr>
      <w:tabs>
        <w:tab w:val="num" w:pos="709"/>
      </w:tabs>
      <w:spacing w:after="220" w:line="264" w:lineRule="auto"/>
      <w:ind w:left="709" w:hanging="709"/>
      <w:outlineLvl w:val="0"/>
    </w:pPr>
    <w:rPr>
      <w:rFonts w:ascii="Arial" w:eastAsia="Times New Roman" w:hAnsi="Arial" w:cs="Times New Roman"/>
      <w:kern w:val="28"/>
      <w:sz w:val="21"/>
      <w:szCs w:val="20"/>
    </w:rPr>
  </w:style>
  <w:style w:type="paragraph" w:customStyle="1" w:styleId="Author0">
    <w:name w:val="Author"/>
    <w:basedOn w:val="Normal"/>
    <w:next w:val="Normal"/>
    <w:autoRedefine/>
    <w:qFormat/>
    <w:rsid w:val="007450E6"/>
    <w:pPr>
      <w:spacing w:line="240" w:lineRule="auto"/>
      <w:jc w:val="center"/>
    </w:pPr>
    <w:rPr>
      <w:rFonts w:eastAsia="Times New Roman" w:cs="Times New Roman"/>
      <w:bCs/>
      <w:i/>
      <w:color w:val="000000"/>
      <w:kern w:val="32"/>
      <w:sz w:val="28"/>
      <w:szCs w:val="24"/>
    </w:rPr>
  </w:style>
  <w:style w:type="paragraph" w:customStyle="1" w:styleId="Quote1">
    <w:name w:val="Quote1"/>
    <w:basedOn w:val="Normal"/>
    <w:autoRedefine/>
    <w:rsid w:val="007518E6"/>
    <w:pPr>
      <w:spacing w:line="240" w:lineRule="auto"/>
      <w:ind w:left="360" w:right="360"/>
    </w:pPr>
    <w:rPr>
      <w:rFonts w:eastAsia="Times New Roman" w:cs="Times New Roman"/>
      <w:bCs/>
      <w:kern w:val="32"/>
      <w:szCs w:val="24"/>
    </w:rPr>
  </w:style>
  <w:style w:type="paragraph" w:customStyle="1" w:styleId="Indent1">
    <w:name w:val="Indent 1"/>
    <w:basedOn w:val="Normal"/>
    <w:next w:val="Normal"/>
    <w:autoRedefine/>
    <w:rsid w:val="007518E6"/>
    <w:pPr>
      <w:tabs>
        <w:tab w:val="left" w:pos="0"/>
      </w:tabs>
      <w:spacing w:line="480" w:lineRule="auto"/>
      <w:ind w:left="720" w:right="720"/>
    </w:pPr>
    <w:rPr>
      <w:rFonts w:eastAsia="Times New Roman" w:cs="Arial"/>
      <w:bCs/>
      <w:kern w:val="32"/>
      <w:szCs w:val="24"/>
    </w:rPr>
  </w:style>
  <w:style w:type="paragraph" w:customStyle="1" w:styleId="Hanging">
    <w:name w:val="Hanging"/>
    <w:basedOn w:val="Normal"/>
    <w:next w:val="Normal"/>
    <w:autoRedefine/>
    <w:rsid w:val="007518E6"/>
    <w:pPr>
      <w:numPr>
        <w:numId w:val="1"/>
      </w:numPr>
      <w:spacing w:line="480" w:lineRule="auto"/>
    </w:pPr>
    <w:rPr>
      <w:rFonts w:eastAsia="Times New Roman" w:cs="Times New Roman"/>
      <w:bCs/>
      <w:kern w:val="32"/>
      <w:szCs w:val="24"/>
    </w:rPr>
  </w:style>
  <w:style w:type="paragraph" w:customStyle="1" w:styleId="ChapterTitle">
    <w:name w:val="Chapter Title"/>
    <w:basedOn w:val="Normal"/>
    <w:next w:val="Normal"/>
    <w:autoRedefine/>
    <w:rsid w:val="007450E6"/>
    <w:pPr>
      <w:spacing w:line="240" w:lineRule="auto"/>
      <w:jc w:val="center"/>
    </w:pPr>
    <w:rPr>
      <w:rFonts w:eastAsia="Times New Roman" w:cs="Times New Roman"/>
      <w:b/>
      <w:bCs/>
      <w:kern w:val="32"/>
      <w:sz w:val="36"/>
      <w:szCs w:val="36"/>
    </w:rPr>
  </w:style>
  <w:style w:type="paragraph" w:customStyle="1" w:styleId="indent10">
    <w:name w:val="indent 1"/>
    <w:basedOn w:val="Normal"/>
    <w:next w:val="Normal"/>
    <w:autoRedefine/>
    <w:rsid w:val="007518E6"/>
    <w:pPr>
      <w:tabs>
        <w:tab w:val="left" w:pos="-720"/>
      </w:tabs>
      <w:suppressAutoHyphens/>
      <w:spacing w:line="480" w:lineRule="auto"/>
      <w:ind w:left="720" w:right="720"/>
    </w:pPr>
    <w:rPr>
      <w:rFonts w:eastAsia="Times New Roman" w:cs="Arial"/>
      <w:b/>
      <w:bCs/>
      <w:spacing w:val="-3"/>
      <w:kern w:val="32"/>
      <w:szCs w:val="24"/>
    </w:rPr>
  </w:style>
  <w:style w:type="paragraph" w:customStyle="1" w:styleId="Numbered">
    <w:name w:val="Numbered"/>
    <w:basedOn w:val="Normal"/>
    <w:next w:val="Normal"/>
    <w:autoRedefine/>
    <w:rsid w:val="007518E6"/>
    <w:pPr>
      <w:spacing w:line="480" w:lineRule="auto"/>
      <w:ind w:left="720" w:hanging="720"/>
    </w:pPr>
    <w:rPr>
      <w:rFonts w:eastAsia="Times New Roman" w:cs="Times New Roman"/>
      <w:bCs/>
      <w:kern w:val="32"/>
      <w:szCs w:val="24"/>
    </w:rPr>
  </w:style>
  <w:style w:type="paragraph" w:customStyle="1" w:styleId="Lettered">
    <w:name w:val="Lettered"/>
    <w:basedOn w:val="Normal"/>
    <w:autoRedefine/>
    <w:rsid w:val="007518E6"/>
    <w:pPr>
      <w:spacing w:line="480" w:lineRule="auto"/>
      <w:ind w:left="1440"/>
    </w:pPr>
    <w:rPr>
      <w:rFonts w:eastAsia="Times New Roman" w:cs="Times New Roman"/>
      <w:bCs/>
      <w:kern w:val="32"/>
      <w:szCs w:val="24"/>
    </w:rPr>
  </w:style>
  <w:style w:type="paragraph" w:customStyle="1" w:styleId="Label">
    <w:name w:val="Label"/>
    <w:basedOn w:val="Normal"/>
    <w:autoRedefine/>
    <w:rsid w:val="007518E6"/>
    <w:pPr>
      <w:spacing w:line="480" w:lineRule="auto"/>
      <w:jc w:val="center"/>
    </w:pPr>
    <w:rPr>
      <w:rFonts w:eastAsia="Times New Roman" w:cs="Times New Roman"/>
      <w:bCs/>
      <w:i/>
      <w:kern w:val="32"/>
      <w:szCs w:val="24"/>
    </w:rPr>
  </w:style>
  <w:style w:type="paragraph" w:customStyle="1" w:styleId="Declaration">
    <w:name w:val="Declaration"/>
    <w:basedOn w:val="Normal"/>
    <w:autoRedefine/>
    <w:rsid w:val="007518E6"/>
    <w:rPr>
      <w:rFonts w:eastAsia="Times New Roman" w:cs="Times New Roman"/>
      <w:bCs/>
      <w:kern w:val="32"/>
      <w:szCs w:val="24"/>
    </w:rPr>
  </w:style>
  <w:style w:type="character" w:styleId="FootnoteReference">
    <w:name w:val="footnote reference"/>
    <w:basedOn w:val="DefaultParagraphFont"/>
    <w:semiHidden/>
    <w:unhideWhenUsed/>
    <w:rsid w:val="007518E6"/>
    <w:rPr>
      <w:rFonts w:ascii="Courier New" w:hAnsi="Courier New" w:cs="Courier New" w:hint="default"/>
      <w:noProof w:val="0"/>
      <w:sz w:val="24"/>
      <w:vertAlign w:val="superscript"/>
      <w:lang w:val="en-US"/>
    </w:rPr>
  </w:style>
  <w:style w:type="character" w:customStyle="1" w:styleId="Heading1Text">
    <w:name w:val="Heading 1 Text"/>
    <w:basedOn w:val="DefaultParagraphFont"/>
    <w:rsid w:val="007518E6"/>
    <w:rPr>
      <w:b/>
      <w:bCs w:val="0"/>
      <w:smallCaps/>
    </w:rPr>
  </w:style>
  <w:style w:type="character" w:customStyle="1" w:styleId="FootnoteTextChar1">
    <w:name w:val="Footnote Text Char1"/>
    <w:basedOn w:val="DefaultParagraphFont"/>
    <w:uiPriority w:val="99"/>
    <w:semiHidden/>
    <w:rsid w:val="007518E6"/>
    <w:rPr>
      <w:bCs/>
      <w:kern w:val="32"/>
      <w:lang w:val="en-US" w:eastAsia="en-US"/>
    </w:rPr>
  </w:style>
  <w:style w:type="table" w:styleId="TableGrid">
    <w:name w:val="Table Grid"/>
    <w:basedOn w:val="TableNormal"/>
    <w:rsid w:val="007518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05CE"/>
    <w:rPr>
      <w:sz w:val="16"/>
      <w:szCs w:val="16"/>
    </w:rPr>
  </w:style>
  <w:style w:type="paragraph" w:styleId="CommentText">
    <w:name w:val="annotation text"/>
    <w:basedOn w:val="Normal"/>
    <w:link w:val="CommentTextChar"/>
    <w:uiPriority w:val="99"/>
    <w:semiHidden/>
    <w:unhideWhenUsed/>
    <w:rsid w:val="002805CE"/>
    <w:pPr>
      <w:spacing w:line="240" w:lineRule="auto"/>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805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05CE"/>
    <w:rPr>
      <w:b/>
      <w:bCs/>
    </w:rPr>
  </w:style>
  <w:style w:type="character" w:customStyle="1" w:styleId="CommentSubjectChar">
    <w:name w:val="Comment Subject Char"/>
    <w:basedOn w:val="CommentTextChar"/>
    <w:link w:val="CommentSubject"/>
    <w:uiPriority w:val="99"/>
    <w:semiHidden/>
    <w:rsid w:val="002805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05CE"/>
    <w:pPr>
      <w:spacing w:line="240" w:lineRule="auto"/>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805CE"/>
    <w:rPr>
      <w:rFonts w:ascii="Tahoma" w:eastAsia="Calibri" w:hAnsi="Tahoma" w:cs="Tahoma"/>
      <w:sz w:val="16"/>
      <w:szCs w:val="16"/>
    </w:rPr>
  </w:style>
  <w:style w:type="paragraph" w:styleId="EndnoteText">
    <w:name w:val="endnote text"/>
    <w:basedOn w:val="Normal"/>
    <w:link w:val="EndnoteTextChar"/>
    <w:unhideWhenUsed/>
    <w:rsid w:val="002805CE"/>
    <w:pPr>
      <w:spacing w:line="240" w:lineRule="auto"/>
      <w:jc w:val="left"/>
    </w:pPr>
    <w:rPr>
      <w:rFonts w:ascii="Calibri" w:eastAsia="Calibri" w:hAnsi="Calibri" w:cs="Times New Roman"/>
      <w:sz w:val="20"/>
      <w:szCs w:val="20"/>
    </w:rPr>
  </w:style>
  <w:style w:type="character" w:customStyle="1" w:styleId="EndnoteTextChar">
    <w:name w:val="Endnote Text Char"/>
    <w:basedOn w:val="DefaultParagraphFont"/>
    <w:link w:val="EndnoteText"/>
    <w:rsid w:val="002805CE"/>
    <w:rPr>
      <w:rFonts w:ascii="Calibri" w:eastAsia="Calibri" w:hAnsi="Calibri" w:cs="Times New Roman"/>
      <w:sz w:val="20"/>
      <w:szCs w:val="20"/>
    </w:rPr>
  </w:style>
  <w:style w:type="character" w:styleId="EndnoteReference">
    <w:name w:val="endnote reference"/>
    <w:basedOn w:val="DefaultParagraphFont"/>
    <w:uiPriority w:val="99"/>
    <w:unhideWhenUsed/>
    <w:rsid w:val="002805CE"/>
    <w:rPr>
      <w:vertAlign w:val="superscript"/>
    </w:rPr>
  </w:style>
  <w:style w:type="paragraph" w:styleId="ListParagraph">
    <w:name w:val="List Paragraph"/>
    <w:basedOn w:val="Normal"/>
    <w:autoRedefine/>
    <w:uiPriority w:val="34"/>
    <w:qFormat/>
    <w:rsid w:val="001A2694"/>
    <w:pPr>
      <w:ind w:left="720"/>
      <w:contextualSpacing/>
    </w:pPr>
    <w:rPr>
      <w:rFonts w:eastAsia="Calibri" w:cs="Times New Roman"/>
    </w:rPr>
  </w:style>
  <w:style w:type="paragraph" w:customStyle="1" w:styleId="Default">
    <w:name w:val="Default"/>
    <w:rsid w:val="002805CE"/>
    <w:pPr>
      <w:autoSpaceDE w:val="0"/>
      <w:autoSpaceDN w:val="0"/>
      <w:adjustRightInd w:val="0"/>
      <w:spacing w:after="0" w:line="240" w:lineRule="auto"/>
    </w:pPr>
    <w:rPr>
      <w:rFonts w:ascii="Code" w:eastAsia="Calibri" w:hAnsi="Code" w:cs="Code"/>
      <w:color w:val="000000"/>
      <w:sz w:val="24"/>
      <w:szCs w:val="24"/>
      <w:lang w:val="en-ZA"/>
    </w:rPr>
  </w:style>
  <w:style w:type="paragraph" w:styleId="Revision">
    <w:name w:val="Revision"/>
    <w:hidden/>
    <w:uiPriority w:val="99"/>
    <w:semiHidden/>
    <w:rsid w:val="002805CE"/>
    <w:pPr>
      <w:spacing w:after="0" w:line="240" w:lineRule="auto"/>
    </w:pPr>
    <w:rPr>
      <w:rFonts w:ascii="Times New Roman" w:hAnsi="Times New Roman"/>
      <w:sz w:val="24"/>
      <w:lang w:val="en-US"/>
    </w:rPr>
  </w:style>
  <w:style w:type="character" w:styleId="HTMLCite">
    <w:name w:val="HTML Cite"/>
    <w:basedOn w:val="DefaultParagraphFont"/>
    <w:uiPriority w:val="99"/>
    <w:semiHidden/>
    <w:unhideWhenUsed/>
    <w:rsid w:val="002805CE"/>
    <w:rPr>
      <w:i/>
      <w:iCs/>
    </w:rPr>
  </w:style>
  <w:style w:type="character" w:customStyle="1" w:styleId="Heading5Char">
    <w:name w:val="Heading 5 Char"/>
    <w:basedOn w:val="DefaultParagraphFont"/>
    <w:link w:val="Heading5"/>
    <w:uiPriority w:val="9"/>
    <w:rsid w:val="00CB6109"/>
    <w:rPr>
      <w:rFonts w:ascii="Times New Roman" w:eastAsiaTheme="majorEastAsia" w:hAnsi="Times New Roman" w:cstheme="majorBid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64511">
      <w:bodyDiv w:val="1"/>
      <w:marLeft w:val="0"/>
      <w:marRight w:val="0"/>
      <w:marTop w:val="0"/>
      <w:marBottom w:val="0"/>
      <w:divBdr>
        <w:top w:val="none" w:sz="0" w:space="0" w:color="auto"/>
        <w:left w:val="none" w:sz="0" w:space="0" w:color="auto"/>
        <w:bottom w:val="none" w:sz="0" w:space="0" w:color="auto"/>
        <w:right w:val="none" w:sz="0" w:space="0" w:color="auto"/>
      </w:divBdr>
    </w:div>
    <w:div w:id="21207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andreassen@nchr.uio.no" TargetMode="External"/><Relationship Id="rId13" Type="http://schemas.openxmlformats.org/officeDocument/2006/relationships/hyperlink" Target="https://bit.ly/3AidRc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ckaaL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R4nMJ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3dUPSY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pIZNDy" TargetMode="External"/><Relationship Id="rId14" Type="http://schemas.openxmlformats.org/officeDocument/2006/relationships/hyperlink" Target="https://bit.ly/3AJyX4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acinst.org/publication/pacific-institute-2021-annual-review/" TargetMode="External"/><Relationship Id="rId2" Type="http://schemas.openxmlformats.org/officeDocument/2006/relationships/hyperlink" Target="https://www.un.org/sustainabledevelopment/water-and-sanitation/" TargetMode="External"/><Relationship Id="rId1" Type="http://schemas.openxmlformats.org/officeDocument/2006/relationships/hyperlink" Target="https://unstats.un.org/sdgs/report/2022/The-Sustainable-Development-Goals-Repor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5674-29B7-44E1-8D18-DE7BFFF9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 Water, No Life: On the Basic Human Right to Water</vt:lpstr>
    </vt:vector>
  </TitlesOfParts>
  <Company/>
  <LinksUpToDate>false</LinksUpToDate>
  <CharactersWithSpaces>21392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Water, No Life: On the Basic Human Right to Water</dc:title>
  <dc:creator>Oduor</dc:creator>
  <cp:lastModifiedBy>Dr Francis Owakah</cp:lastModifiedBy>
  <cp:revision>4</cp:revision>
  <dcterms:created xsi:type="dcterms:W3CDTF">2022-10-15T11:43:00Z</dcterms:created>
  <dcterms:modified xsi:type="dcterms:W3CDTF">2022-10-17T08:21:00Z</dcterms:modified>
</cp:coreProperties>
</file>